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421727">
      <w:pPr>
        <w:keepNext w:val="0"/>
        <w:keepLines w:val="0"/>
        <w:pageBreakBefore w:val="0"/>
        <w:widowControl w:val="0"/>
        <w:kinsoku/>
        <w:wordWrap/>
        <w:overflowPunct/>
        <w:topLinePunct w:val="0"/>
        <w:autoSpaceDE/>
        <w:autoSpaceDN/>
        <w:bidi w:val="0"/>
        <w:adjustRightInd/>
        <w:snapToGrid/>
        <w:spacing w:line="720" w:lineRule="auto"/>
        <w:ind w:firstLine="0" w:firstLineChars="0"/>
        <w:jc w:val="center"/>
        <w:textAlignment w:val="auto"/>
        <w:outlineLvl w:val="9"/>
        <w:rPr>
          <w:rFonts w:hint="eastAsia" w:ascii="仿宋" w:hAnsi="仿宋" w:eastAsia="仿宋" w:cs="仿宋"/>
          <w:b/>
          <w:bCs/>
          <w:color w:val="auto"/>
          <w:sz w:val="48"/>
          <w:szCs w:val="32"/>
          <w:lang w:val="en-US" w:eastAsia="zh-CN"/>
        </w:rPr>
      </w:pPr>
    </w:p>
    <w:p w14:paraId="4DD2E850">
      <w:pPr>
        <w:keepNext w:val="0"/>
        <w:keepLines w:val="0"/>
        <w:pageBreakBefore w:val="0"/>
        <w:widowControl w:val="0"/>
        <w:kinsoku/>
        <w:wordWrap/>
        <w:overflowPunct/>
        <w:topLinePunct w:val="0"/>
        <w:autoSpaceDE/>
        <w:autoSpaceDN/>
        <w:bidi w:val="0"/>
        <w:adjustRightInd/>
        <w:snapToGrid/>
        <w:spacing w:line="720" w:lineRule="auto"/>
        <w:ind w:firstLine="0" w:firstLineChars="0"/>
        <w:jc w:val="center"/>
        <w:textAlignment w:val="auto"/>
        <w:outlineLvl w:val="9"/>
        <w:rPr>
          <w:rFonts w:hint="eastAsia" w:ascii="仿宋" w:hAnsi="仿宋" w:eastAsia="仿宋" w:cs="仿宋"/>
          <w:b/>
          <w:bCs/>
          <w:color w:val="auto"/>
          <w:sz w:val="52"/>
          <w:szCs w:val="52"/>
          <w:lang w:val="en-US" w:eastAsia="zh-CN"/>
        </w:rPr>
      </w:pPr>
      <w:bookmarkStart w:id="0" w:name="_Toc10446"/>
      <w:bookmarkStart w:id="1" w:name="_Toc11591"/>
      <w:r>
        <w:rPr>
          <w:rFonts w:hint="eastAsia" w:ascii="仿宋" w:hAnsi="仿宋" w:eastAsia="仿宋" w:cs="仿宋"/>
          <w:b/>
          <w:bCs/>
          <w:color w:val="auto"/>
          <w:sz w:val="52"/>
          <w:szCs w:val="52"/>
          <w:lang w:val="en-US" w:eastAsia="zh-CN"/>
        </w:rPr>
        <w:t>原南通岸西化工有限公司地块</w:t>
      </w:r>
    </w:p>
    <w:p w14:paraId="71D0137F">
      <w:pPr>
        <w:keepNext w:val="0"/>
        <w:keepLines w:val="0"/>
        <w:pageBreakBefore w:val="0"/>
        <w:widowControl w:val="0"/>
        <w:kinsoku/>
        <w:wordWrap/>
        <w:overflowPunct/>
        <w:topLinePunct w:val="0"/>
        <w:autoSpaceDE/>
        <w:autoSpaceDN/>
        <w:bidi w:val="0"/>
        <w:adjustRightInd/>
        <w:snapToGrid/>
        <w:spacing w:line="720" w:lineRule="auto"/>
        <w:ind w:firstLine="0" w:firstLineChars="0"/>
        <w:jc w:val="center"/>
        <w:textAlignment w:val="auto"/>
        <w:outlineLvl w:val="9"/>
        <w:rPr>
          <w:rFonts w:hint="eastAsia" w:ascii="仿宋" w:hAnsi="仿宋" w:eastAsia="仿宋" w:cs="仿宋"/>
          <w:b/>
          <w:bCs/>
          <w:color w:val="auto"/>
          <w:sz w:val="52"/>
          <w:szCs w:val="52"/>
          <w:lang w:val="en-US" w:eastAsia="zh-CN"/>
        </w:rPr>
      </w:pPr>
      <w:r>
        <w:rPr>
          <w:rFonts w:hint="eastAsia" w:ascii="仿宋" w:hAnsi="仿宋" w:eastAsia="仿宋" w:cs="仿宋"/>
          <w:b/>
          <w:bCs/>
          <w:color w:val="auto"/>
          <w:sz w:val="52"/>
          <w:szCs w:val="52"/>
          <w:lang w:val="en-US" w:eastAsia="zh-CN"/>
        </w:rPr>
        <w:t>土壤污染状况调查报告</w:t>
      </w:r>
      <w:bookmarkEnd w:id="0"/>
      <w:bookmarkEnd w:id="1"/>
    </w:p>
    <w:p w14:paraId="4CB0A856">
      <w:pPr>
        <w:keepNext w:val="0"/>
        <w:keepLines w:val="0"/>
        <w:pageBreakBefore w:val="0"/>
        <w:widowControl w:val="0"/>
        <w:kinsoku/>
        <w:wordWrap/>
        <w:overflowPunct/>
        <w:topLinePunct w:val="0"/>
        <w:autoSpaceDE/>
        <w:autoSpaceDN/>
        <w:bidi w:val="0"/>
        <w:adjustRightInd/>
        <w:snapToGrid/>
        <w:spacing w:line="720" w:lineRule="auto"/>
        <w:ind w:firstLine="0" w:firstLineChars="0"/>
        <w:jc w:val="center"/>
        <w:textAlignment w:val="auto"/>
        <w:outlineLvl w:val="9"/>
        <w:rPr>
          <w:rFonts w:hint="eastAsia" w:ascii="仿宋" w:hAnsi="仿宋" w:eastAsia="仿宋" w:cs="仿宋"/>
          <w:b/>
          <w:bCs/>
          <w:color w:val="auto"/>
          <w:sz w:val="52"/>
          <w:szCs w:val="52"/>
          <w:lang w:val="en-US" w:eastAsia="zh-CN"/>
        </w:rPr>
      </w:pPr>
      <w:r>
        <w:rPr>
          <w:rFonts w:hint="eastAsia" w:ascii="仿宋" w:hAnsi="仿宋" w:eastAsia="仿宋" w:cs="仿宋"/>
          <w:b/>
          <w:bCs/>
          <w:color w:val="auto"/>
          <w:sz w:val="52"/>
          <w:szCs w:val="52"/>
          <w:lang w:val="en-US" w:eastAsia="zh-CN"/>
        </w:rPr>
        <w:t>（送审稿）</w:t>
      </w:r>
    </w:p>
    <w:p w14:paraId="6D52167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9"/>
        <w:rPr>
          <w:rFonts w:hint="eastAsia" w:ascii="仿宋" w:hAnsi="仿宋" w:eastAsia="仿宋" w:cs="仿宋"/>
          <w:color w:val="auto"/>
          <w:lang w:val="en-US" w:eastAsia="zh-CN"/>
        </w:rPr>
      </w:pPr>
    </w:p>
    <w:p w14:paraId="298FCABA">
      <w:pPr>
        <w:pStyle w:val="11"/>
        <w:keepNext w:val="0"/>
        <w:keepLines w:val="0"/>
        <w:pageBreakBefore w:val="0"/>
        <w:widowControl w:val="0"/>
        <w:kinsoku/>
        <w:wordWrap/>
        <w:overflowPunct/>
        <w:topLinePunct w:val="0"/>
        <w:autoSpaceDE/>
        <w:autoSpaceDN/>
        <w:bidi w:val="0"/>
        <w:adjustRightInd/>
        <w:snapToGrid/>
        <w:spacing w:after="0" w:afterLines="0"/>
        <w:textAlignment w:val="auto"/>
        <w:outlineLvl w:val="9"/>
        <w:rPr>
          <w:rFonts w:hint="eastAsia" w:ascii="仿宋" w:hAnsi="仿宋" w:eastAsia="仿宋" w:cs="仿宋"/>
          <w:color w:val="auto"/>
          <w:lang w:val="en-US" w:eastAsia="zh-CN"/>
        </w:rPr>
      </w:pPr>
    </w:p>
    <w:p w14:paraId="61F837C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9"/>
        <w:rPr>
          <w:rFonts w:hint="eastAsia" w:ascii="仿宋" w:hAnsi="仿宋" w:eastAsia="仿宋" w:cs="仿宋"/>
          <w:color w:val="auto"/>
          <w:lang w:val="en-US" w:eastAsia="zh-CN"/>
        </w:rPr>
      </w:pPr>
    </w:p>
    <w:p w14:paraId="20F43599">
      <w:pPr>
        <w:pStyle w:val="10"/>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p>
    <w:p w14:paraId="3FFBCA83">
      <w:pPr>
        <w:pStyle w:val="10"/>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p>
    <w:p w14:paraId="2F7F73BB">
      <w:pPr>
        <w:pStyle w:val="10"/>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p>
    <w:p w14:paraId="7BE294C1">
      <w:pPr>
        <w:pStyle w:val="10"/>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p>
    <w:p w14:paraId="380B3524">
      <w:pPr>
        <w:pStyle w:val="10"/>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p>
    <w:p w14:paraId="2BEE2B88">
      <w:pPr>
        <w:pStyle w:val="10"/>
        <w:keepNext w:val="0"/>
        <w:keepLines w:val="0"/>
        <w:pageBreakBefore w:val="0"/>
        <w:widowControl w:val="0"/>
        <w:kinsoku/>
        <w:wordWrap/>
        <w:overflowPunct/>
        <w:topLinePunct w:val="0"/>
        <w:autoSpaceDE/>
        <w:autoSpaceDN/>
        <w:bidi w:val="0"/>
        <w:adjustRightInd/>
        <w:snapToGrid/>
        <w:spacing w:after="0" w:afterLines="0"/>
        <w:textAlignment w:val="auto"/>
        <w:rPr>
          <w:rFonts w:hint="default" w:ascii="仿宋" w:hAnsi="仿宋" w:eastAsia="仿宋" w:cs="仿宋"/>
          <w:color w:val="auto"/>
          <w:lang w:val="en-US" w:eastAsia="zh-CN"/>
        </w:rPr>
      </w:pPr>
      <w:r>
        <w:rPr>
          <w:rFonts w:hint="eastAsia" w:ascii="仿宋" w:hAnsi="仿宋" w:eastAsia="仿宋" w:cs="仿宋"/>
          <w:color w:val="auto"/>
          <w:lang w:val="en-US" w:eastAsia="zh-CN"/>
        </w:rPr>
        <w:t xml:space="preserve"> </w:t>
      </w:r>
    </w:p>
    <w:p w14:paraId="05D0A03D">
      <w:pPr>
        <w:pStyle w:val="10"/>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p>
    <w:p w14:paraId="6144E636">
      <w:pPr>
        <w:pStyle w:val="10"/>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p>
    <w:p w14:paraId="4DDF7056">
      <w:pPr>
        <w:pStyle w:val="10"/>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p>
    <w:p w14:paraId="006A3378">
      <w:pPr>
        <w:pStyle w:val="10"/>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p>
    <w:p w14:paraId="2D82CA3F">
      <w:pPr>
        <w:pStyle w:val="10"/>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p>
    <w:p w14:paraId="01BA3682">
      <w:pPr>
        <w:pStyle w:val="10"/>
        <w:keepNext w:val="0"/>
        <w:keepLines w:val="0"/>
        <w:pageBreakBefore w:val="0"/>
        <w:widowControl w:val="0"/>
        <w:kinsoku/>
        <w:wordWrap/>
        <w:overflowPunct/>
        <w:topLinePunct w:val="0"/>
        <w:autoSpaceDE/>
        <w:autoSpaceDN/>
        <w:bidi w:val="0"/>
        <w:adjustRightInd/>
        <w:snapToGrid/>
        <w:spacing w:after="0" w:afterLines="0"/>
        <w:textAlignment w:val="auto"/>
        <w:rPr>
          <w:rFonts w:hint="eastAsia" w:ascii="仿宋" w:hAnsi="仿宋" w:eastAsia="仿宋" w:cs="仿宋"/>
          <w:color w:val="auto"/>
          <w:lang w:val="en-US" w:eastAsia="zh-CN"/>
        </w:rPr>
      </w:pPr>
    </w:p>
    <w:p w14:paraId="3F114B45">
      <w:pPr>
        <w:pStyle w:val="10"/>
        <w:keepNext w:val="0"/>
        <w:keepLines w:val="0"/>
        <w:pageBreakBefore w:val="0"/>
        <w:widowControl w:val="0"/>
        <w:kinsoku/>
        <w:wordWrap/>
        <w:overflowPunct/>
        <w:topLinePunct w:val="0"/>
        <w:autoSpaceDE/>
        <w:autoSpaceDN/>
        <w:bidi w:val="0"/>
        <w:adjustRightInd/>
        <w:snapToGrid/>
        <w:spacing w:after="0" w:afterLines="0"/>
        <w:textAlignment w:val="auto"/>
        <w:outlineLvl w:val="9"/>
        <w:rPr>
          <w:rFonts w:hint="eastAsia" w:ascii="仿宋" w:hAnsi="仿宋" w:eastAsia="仿宋" w:cs="仿宋"/>
          <w:color w:val="auto"/>
          <w:lang w:val="en-US" w:eastAsia="zh-CN"/>
        </w:rPr>
      </w:pPr>
    </w:p>
    <w:p w14:paraId="020EB8E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仿宋" w:hAnsi="仿宋" w:eastAsia="仿宋" w:cs="仿宋"/>
          <w:b/>
          <w:bCs/>
          <w:color w:val="auto"/>
          <w:sz w:val="30"/>
          <w:szCs w:val="30"/>
          <w:lang w:val="en-US" w:eastAsia="zh-CN"/>
        </w:rPr>
      </w:pPr>
      <w:bookmarkStart w:id="2" w:name="_Toc3447"/>
      <w:bookmarkStart w:id="3" w:name="_Toc18254"/>
      <w:r>
        <w:rPr>
          <w:rFonts w:hint="eastAsia" w:ascii="仿宋" w:hAnsi="仿宋" w:eastAsia="仿宋" w:cs="仿宋"/>
          <w:b/>
          <w:bCs/>
          <w:color w:val="auto"/>
          <w:sz w:val="30"/>
          <w:szCs w:val="30"/>
          <w:lang w:val="en-US" w:eastAsia="zh-CN"/>
        </w:rPr>
        <w:t>委托单位：</w:t>
      </w:r>
      <w:bookmarkEnd w:id="2"/>
      <w:bookmarkEnd w:id="3"/>
      <w:r>
        <w:rPr>
          <w:rFonts w:hint="eastAsia" w:ascii="仿宋" w:hAnsi="仿宋" w:eastAsia="仿宋" w:cs="仿宋"/>
          <w:b/>
          <w:bCs/>
          <w:color w:val="auto"/>
          <w:sz w:val="30"/>
          <w:szCs w:val="30"/>
          <w:lang w:val="en-US" w:eastAsia="zh-CN"/>
        </w:rPr>
        <w:t>南通江润新能源科技有限公司</w:t>
      </w:r>
    </w:p>
    <w:p w14:paraId="58841E7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仿宋" w:hAnsi="仿宋" w:eastAsia="仿宋" w:cs="仿宋"/>
          <w:b/>
          <w:bCs/>
          <w:color w:val="auto"/>
          <w:sz w:val="30"/>
          <w:szCs w:val="30"/>
          <w:lang w:val="en-US" w:eastAsia="zh-CN"/>
        </w:rPr>
      </w:pPr>
      <w:bookmarkStart w:id="4" w:name="_Toc20163"/>
      <w:bookmarkStart w:id="5" w:name="_Toc14118"/>
      <w:r>
        <w:rPr>
          <w:rFonts w:hint="eastAsia" w:ascii="仿宋" w:hAnsi="仿宋" w:eastAsia="仿宋" w:cs="仿宋"/>
          <w:b/>
          <w:bCs/>
          <w:color w:val="auto"/>
          <w:sz w:val="30"/>
          <w:szCs w:val="30"/>
          <w:lang w:val="en-US" w:eastAsia="zh-CN"/>
        </w:rPr>
        <w:t>报告出具单位：江苏标普检测科技有限公司</w:t>
      </w:r>
      <w:bookmarkEnd w:id="4"/>
      <w:bookmarkEnd w:id="5"/>
    </w:p>
    <w:p w14:paraId="17DF3742">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ascii="仿宋" w:hAnsi="仿宋" w:eastAsia="仿宋" w:cs="仿宋"/>
          <w:b/>
          <w:bCs/>
          <w:color w:val="auto"/>
          <w:sz w:val="30"/>
          <w:szCs w:val="30"/>
          <w:lang w:val="en-US" w:eastAsia="zh-CN"/>
        </w:rPr>
        <w:sectPr>
          <w:head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仿宋" w:hAnsi="仿宋" w:eastAsia="仿宋" w:cs="仿宋"/>
          <w:b/>
          <w:bCs/>
          <w:color w:val="auto"/>
          <w:sz w:val="30"/>
          <w:szCs w:val="30"/>
          <w:lang w:val="en-US" w:eastAsia="zh-CN"/>
        </w:rPr>
        <w:t>2024年11月</w:t>
      </w:r>
    </w:p>
    <w:p w14:paraId="7D48171A">
      <w:pPr>
        <w:pStyle w:val="2"/>
        <w:rPr>
          <w:rFonts w:hint="eastAsia" w:ascii="仿宋" w:hAnsi="仿宋" w:eastAsia="仿宋" w:cs="仿宋"/>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57C2DC1C">
      <w:pPr>
        <w:pStyle w:val="15"/>
        <w:jc w:val="center"/>
        <w:rPr>
          <w:rFonts w:hint="eastAsia" w:ascii="仿宋" w:hAnsi="仿宋" w:eastAsia="仿宋" w:cs="仿宋"/>
          <w:color w:val="auto"/>
        </w:rPr>
      </w:pPr>
      <w:r>
        <w:rPr>
          <w:rFonts w:hint="eastAsia" w:ascii="仿宋" w:hAnsi="仿宋" w:eastAsia="仿宋" w:cs="仿宋"/>
          <w:color w:val="auto"/>
        </w:rPr>
        <w:drawing>
          <wp:inline distT="0" distB="0" distL="114300" distR="114300">
            <wp:extent cx="5236845" cy="3710305"/>
            <wp:effectExtent l="0" t="0" r="1905" b="4445"/>
            <wp:docPr id="63" name="图片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430"/>
                    <pic:cNvPicPr>
                      <a:picLocks noChangeAspect="1"/>
                    </pic:cNvPicPr>
                  </pic:nvPicPr>
                  <pic:blipFill>
                    <a:blip r:embed="rId13"/>
                    <a:stretch>
                      <a:fillRect/>
                    </a:stretch>
                  </pic:blipFill>
                  <pic:spPr>
                    <a:xfrm>
                      <a:off x="0" y="0"/>
                      <a:ext cx="5236845" cy="3710305"/>
                    </a:xfrm>
                    <a:prstGeom prst="rect">
                      <a:avLst/>
                    </a:prstGeom>
                    <a:noFill/>
                    <a:ln>
                      <a:noFill/>
                    </a:ln>
                  </pic:spPr>
                </pic:pic>
              </a:graphicData>
            </a:graphic>
          </wp:inline>
        </w:drawing>
      </w:r>
    </w:p>
    <w:p w14:paraId="28E9CD38">
      <w:pPr>
        <w:pStyle w:val="15"/>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项目名称：原南通岸西化工有限公司地块土壤污染状况调查报告</w:t>
      </w:r>
    </w:p>
    <w:p w14:paraId="29B4A5D6">
      <w:pPr>
        <w:pStyle w:val="15"/>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委托单位：南通江润新能源科技有限公司</w:t>
      </w:r>
    </w:p>
    <w:p w14:paraId="2363BC45">
      <w:pPr>
        <w:pStyle w:val="15"/>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报告出具单位：江苏标普检测科技有限公司</w:t>
      </w:r>
    </w:p>
    <w:p w14:paraId="665B8830">
      <w:pPr>
        <w:pStyle w:val="15"/>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钻探单位：江苏恒安检测技术有限公司</w:t>
      </w:r>
    </w:p>
    <w:p w14:paraId="4CC678C0">
      <w:pPr>
        <w:pStyle w:val="15"/>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仿宋" w:hAnsi="仿宋" w:eastAsia="宋体"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检测单位：江苏格林勒斯检测科技有限公司</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1"/>
        <w:gridCol w:w="1154"/>
        <w:gridCol w:w="1258"/>
        <w:gridCol w:w="1430"/>
        <w:gridCol w:w="2441"/>
        <w:gridCol w:w="1018"/>
      </w:tblGrid>
      <w:tr w14:paraId="4E487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noWrap w:val="0"/>
            <w:vAlign w:val="center"/>
          </w:tcPr>
          <w:p w14:paraId="22B1312E">
            <w:pPr>
              <w:keepNext w:val="0"/>
              <w:keepLines w:val="0"/>
              <w:pageBreakBefore w:val="0"/>
              <w:widowControl w:val="0"/>
              <w:tabs>
                <w:tab w:val="center" w:pos="4213"/>
                <w:tab w:val="left" w:pos="4983"/>
              </w:tabs>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rPr>
            </w:pPr>
            <w:r>
              <w:rPr>
                <w:rFonts w:hint="eastAsia" w:ascii="仿宋" w:hAnsi="仿宋" w:eastAsia="仿宋" w:cs="仿宋"/>
                <w:color w:val="auto"/>
                <w:lang w:val="en-US" w:eastAsia="zh-CN"/>
              </w:rPr>
              <w:t>人员信息表</w:t>
            </w:r>
          </w:p>
        </w:tc>
      </w:tr>
      <w:tr w14:paraId="1777B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noWrap w:val="0"/>
            <w:vAlign w:val="center"/>
          </w:tcPr>
          <w:p w14:paraId="639E4E36">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职责</w:t>
            </w:r>
          </w:p>
        </w:tc>
        <w:tc>
          <w:tcPr>
            <w:tcW w:w="677" w:type="pct"/>
            <w:noWrap w:val="0"/>
            <w:vAlign w:val="center"/>
          </w:tcPr>
          <w:p w14:paraId="065EFA44">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人员</w:t>
            </w:r>
          </w:p>
        </w:tc>
        <w:tc>
          <w:tcPr>
            <w:tcW w:w="738" w:type="pct"/>
            <w:noWrap w:val="0"/>
            <w:vAlign w:val="center"/>
          </w:tcPr>
          <w:p w14:paraId="6631E630">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专业</w:t>
            </w:r>
          </w:p>
        </w:tc>
        <w:tc>
          <w:tcPr>
            <w:tcW w:w="839" w:type="pct"/>
            <w:noWrap w:val="0"/>
            <w:vAlign w:val="center"/>
          </w:tcPr>
          <w:p w14:paraId="429416E7">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职称</w:t>
            </w:r>
          </w:p>
        </w:tc>
        <w:tc>
          <w:tcPr>
            <w:tcW w:w="1432" w:type="pct"/>
            <w:noWrap w:val="0"/>
            <w:vAlign w:val="center"/>
          </w:tcPr>
          <w:p w14:paraId="36804E92">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身份证号及联系电话</w:t>
            </w:r>
          </w:p>
        </w:tc>
        <w:tc>
          <w:tcPr>
            <w:tcW w:w="596" w:type="pct"/>
            <w:noWrap w:val="0"/>
            <w:vAlign w:val="center"/>
          </w:tcPr>
          <w:p w14:paraId="739B6C19">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签字</w:t>
            </w:r>
          </w:p>
        </w:tc>
      </w:tr>
      <w:tr w14:paraId="1219F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noWrap w:val="0"/>
            <w:vAlign w:val="center"/>
          </w:tcPr>
          <w:p w14:paraId="78E85A17">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项目负责</w:t>
            </w:r>
          </w:p>
        </w:tc>
        <w:tc>
          <w:tcPr>
            <w:tcW w:w="677" w:type="pct"/>
            <w:noWrap w:val="0"/>
            <w:vAlign w:val="center"/>
          </w:tcPr>
          <w:p w14:paraId="4A945EA6">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sz w:val="24"/>
                <w:szCs w:val="24"/>
                <w:vertAlign w:val="baseline"/>
                <w:lang w:val="en-US" w:eastAsia="zh-CN"/>
              </w:rPr>
              <w:t>沈琪</w:t>
            </w:r>
          </w:p>
        </w:tc>
        <w:tc>
          <w:tcPr>
            <w:tcW w:w="738" w:type="pct"/>
            <w:noWrap w:val="0"/>
            <w:vAlign w:val="center"/>
          </w:tcPr>
          <w:p w14:paraId="768B653F">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sz w:val="24"/>
                <w:szCs w:val="24"/>
                <w:vertAlign w:val="baseline"/>
                <w:lang w:val="en-US" w:eastAsia="zh-CN"/>
              </w:rPr>
              <w:t>环境科学</w:t>
            </w:r>
          </w:p>
        </w:tc>
        <w:tc>
          <w:tcPr>
            <w:tcW w:w="839" w:type="pct"/>
            <w:noWrap w:val="0"/>
            <w:vAlign w:val="center"/>
          </w:tcPr>
          <w:p w14:paraId="3BF8E18E">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sz w:val="24"/>
                <w:szCs w:val="24"/>
                <w:vertAlign w:val="baseline"/>
                <w:lang w:val="en-US" w:eastAsia="zh-CN"/>
              </w:rPr>
              <w:t>工程师</w:t>
            </w:r>
          </w:p>
        </w:tc>
        <w:tc>
          <w:tcPr>
            <w:tcW w:w="1432" w:type="pct"/>
            <w:noWrap w:val="0"/>
            <w:vAlign w:val="center"/>
          </w:tcPr>
          <w:p w14:paraId="64962D56">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320602199310031023</w:t>
            </w:r>
          </w:p>
          <w:p w14:paraId="06EB04B7">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18206293006</w:t>
            </w:r>
          </w:p>
        </w:tc>
        <w:tc>
          <w:tcPr>
            <w:tcW w:w="596" w:type="pct"/>
            <w:noWrap w:val="0"/>
            <w:vAlign w:val="center"/>
          </w:tcPr>
          <w:p w14:paraId="7EC60E56">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rPr>
            </w:pPr>
          </w:p>
        </w:tc>
      </w:tr>
      <w:tr w14:paraId="111BF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noWrap w:val="0"/>
            <w:vAlign w:val="center"/>
          </w:tcPr>
          <w:p w14:paraId="3012ABEB">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现场踏勘</w:t>
            </w:r>
          </w:p>
          <w:p w14:paraId="78DED055">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数据分析</w:t>
            </w:r>
          </w:p>
          <w:p w14:paraId="41D91CCD">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报告编制</w:t>
            </w:r>
          </w:p>
        </w:tc>
        <w:tc>
          <w:tcPr>
            <w:tcW w:w="677" w:type="pct"/>
            <w:noWrap w:val="0"/>
            <w:vAlign w:val="center"/>
          </w:tcPr>
          <w:p w14:paraId="7B70EF8C">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sz w:val="24"/>
                <w:szCs w:val="24"/>
                <w:vertAlign w:val="baseline"/>
                <w:lang w:val="en-US" w:eastAsia="zh-CN"/>
              </w:rPr>
              <w:t>陆天悦</w:t>
            </w:r>
          </w:p>
        </w:tc>
        <w:tc>
          <w:tcPr>
            <w:tcW w:w="738" w:type="pct"/>
            <w:noWrap w:val="0"/>
            <w:vAlign w:val="center"/>
          </w:tcPr>
          <w:p w14:paraId="5085F7F5">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环境工程</w:t>
            </w:r>
          </w:p>
        </w:tc>
        <w:tc>
          <w:tcPr>
            <w:tcW w:w="839" w:type="pct"/>
            <w:noWrap w:val="0"/>
            <w:vAlign w:val="center"/>
          </w:tcPr>
          <w:p w14:paraId="72151115">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kern w:val="2"/>
                <w:sz w:val="24"/>
                <w:szCs w:val="24"/>
                <w:vertAlign w:val="baseline"/>
                <w:lang w:val="en-US" w:eastAsia="zh-CN" w:bidi="ar-SA"/>
              </w:rPr>
              <w:t>助理工程师</w:t>
            </w:r>
          </w:p>
        </w:tc>
        <w:tc>
          <w:tcPr>
            <w:tcW w:w="1432" w:type="pct"/>
            <w:noWrap w:val="0"/>
            <w:vAlign w:val="center"/>
          </w:tcPr>
          <w:p w14:paraId="411E6059">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320611200011251829</w:t>
            </w:r>
          </w:p>
          <w:p w14:paraId="40FFEA2F">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kern w:val="2"/>
                <w:sz w:val="24"/>
                <w:szCs w:val="24"/>
                <w:vertAlign w:val="baseline"/>
                <w:lang w:val="en-US" w:eastAsia="zh-CN" w:bidi="ar-SA"/>
              </w:rPr>
            </w:pPr>
            <w:r>
              <w:rPr>
                <w:rFonts w:hint="eastAsia" w:ascii="仿宋" w:hAnsi="仿宋" w:eastAsia="仿宋" w:cs="仿宋"/>
                <w:b w:val="0"/>
                <w:bCs/>
                <w:color w:val="auto"/>
                <w:sz w:val="24"/>
                <w:szCs w:val="24"/>
                <w:vertAlign w:val="baseline"/>
                <w:lang w:val="en-US" w:eastAsia="zh-CN"/>
              </w:rPr>
              <w:t>18862934712</w:t>
            </w:r>
          </w:p>
        </w:tc>
        <w:tc>
          <w:tcPr>
            <w:tcW w:w="596" w:type="pct"/>
            <w:noWrap w:val="0"/>
            <w:vAlign w:val="center"/>
          </w:tcPr>
          <w:p w14:paraId="07B7C4F1">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rPr>
            </w:pPr>
          </w:p>
        </w:tc>
      </w:tr>
      <w:tr w14:paraId="22B52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noWrap w:val="0"/>
            <w:vAlign w:val="center"/>
          </w:tcPr>
          <w:p w14:paraId="3DACB086">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报告复核</w:t>
            </w:r>
          </w:p>
        </w:tc>
        <w:tc>
          <w:tcPr>
            <w:tcW w:w="677" w:type="pct"/>
            <w:noWrap w:val="0"/>
            <w:vAlign w:val="center"/>
          </w:tcPr>
          <w:p w14:paraId="3A394731">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沈琪</w:t>
            </w:r>
          </w:p>
        </w:tc>
        <w:tc>
          <w:tcPr>
            <w:tcW w:w="738" w:type="pct"/>
            <w:noWrap w:val="0"/>
            <w:vAlign w:val="center"/>
          </w:tcPr>
          <w:p w14:paraId="46230DAD">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环境科学</w:t>
            </w:r>
          </w:p>
        </w:tc>
        <w:tc>
          <w:tcPr>
            <w:tcW w:w="839" w:type="pct"/>
            <w:noWrap w:val="0"/>
            <w:vAlign w:val="center"/>
          </w:tcPr>
          <w:p w14:paraId="2FF78DC8">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工程师</w:t>
            </w:r>
          </w:p>
        </w:tc>
        <w:tc>
          <w:tcPr>
            <w:tcW w:w="1432" w:type="pct"/>
            <w:noWrap w:val="0"/>
            <w:vAlign w:val="center"/>
          </w:tcPr>
          <w:p w14:paraId="43DAD8AA">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320602199310031023</w:t>
            </w:r>
          </w:p>
          <w:p w14:paraId="0BA5A36B">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18206293006</w:t>
            </w:r>
          </w:p>
        </w:tc>
        <w:tc>
          <w:tcPr>
            <w:tcW w:w="596" w:type="pct"/>
            <w:noWrap w:val="0"/>
            <w:vAlign w:val="center"/>
          </w:tcPr>
          <w:p w14:paraId="3C73D796">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rPr>
            </w:pPr>
          </w:p>
        </w:tc>
      </w:tr>
      <w:tr w14:paraId="7AB04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pct"/>
            <w:noWrap w:val="0"/>
            <w:vAlign w:val="center"/>
          </w:tcPr>
          <w:p w14:paraId="23E53842">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报告审核</w:t>
            </w:r>
          </w:p>
        </w:tc>
        <w:tc>
          <w:tcPr>
            <w:tcW w:w="677" w:type="pct"/>
            <w:noWrap w:val="0"/>
            <w:vAlign w:val="center"/>
          </w:tcPr>
          <w:p w14:paraId="2736FABE">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徐俊</w:t>
            </w:r>
          </w:p>
        </w:tc>
        <w:tc>
          <w:tcPr>
            <w:tcW w:w="738" w:type="pct"/>
            <w:noWrap w:val="0"/>
            <w:vAlign w:val="center"/>
          </w:tcPr>
          <w:p w14:paraId="670665D8">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环境工程</w:t>
            </w:r>
          </w:p>
        </w:tc>
        <w:tc>
          <w:tcPr>
            <w:tcW w:w="839" w:type="pct"/>
            <w:noWrap w:val="0"/>
            <w:vAlign w:val="center"/>
          </w:tcPr>
          <w:p w14:paraId="19F999E9">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研究员级高级工程师</w:t>
            </w:r>
          </w:p>
        </w:tc>
        <w:tc>
          <w:tcPr>
            <w:tcW w:w="1432" w:type="pct"/>
            <w:noWrap w:val="0"/>
            <w:vAlign w:val="center"/>
          </w:tcPr>
          <w:p w14:paraId="572494D7">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320622197312170197</w:t>
            </w:r>
          </w:p>
          <w:p w14:paraId="5BED722D">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lang w:val="en-US" w:eastAsia="zh-CN"/>
              </w:rPr>
            </w:pPr>
            <w:r>
              <w:rPr>
                <w:rFonts w:hint="eastAsia" w:ascii="仿宋" w:hAnsi="仿宋" w:eastAsia="仿宋" w:cs="仿宋"/>
                <w:b w:val="0"/>
                <w:bCs/>
                <w:color w:val="auto"/>
                <w:sz w:val="24"/>
                <w:szCs w:val="24"/>
                <w:vertAlign w:val="baseline"/>
                <w:lang w:val="en-US" w:eastAsia="zh-CN"/>
              </w:rPr>
              <w:t>13862734560</w:t>
            </w:r>
          </w:p>
        </w:tc>
        <w:tc>
          <w:tcPr>
            <w:tcW w:w="596" w:type="pct"/>
            <w:noWrap w:val="0"/>
            <w:vAlign w:val="center"/>
          </w:tcPr>
          <w:p w14:paraId="2409F545">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color w:val="auto"/>
                <w:sz w:val="24"/>
                <w:szCs w:val="24"/>
                <w:vertAlign w:val="baseline"/>
              </w:rPr>
            </w:pPr>
          </w:p>
        </w:tc>
      </w:tr>
    </w:tbl>
    <w:p w14:paraId="45C22CA6">
      <w:pPr>
        <w:bidi w:val="0"/>
        <w:rPr>
          <w:rFonts w:hint="eastAsia"/>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54DF1B7D">
      <w:pPr>
        <w:pStyle w:val="2"/>
        <w:rPr>
          <w:rFonts w:hint="eastAsia" w:ascii="仿宋" w:hAnsi="仿宋" w:eastAsia="仿宋" w:cs="仿宋"/>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6BFBC9CF">
      <w:pPr>
        <w:bidi w:val="0"/>
        <w:ind w:left="0" w:leftChars="0" w:firstLine="0" w:firstLineChars="0"/>
        <w:jc w:val="center"/>
        <w:outlineLvl w:val="0"/>
        <w:rPr>
          <w:rFonts w:hint="eastAsia" w:ascii="仿宋" w:hAnsi="仿宋" w:eastAsia="仿宋" w:cs="仿宋"/>
          <w:b/>
          <w:bCs/>
          <w:color w:val="auto"/>
          <w:sz w:val="48"/>
          <w:szCs w:val="36"/>
          <w:lang w:val="en-US" w:eastAsia="zh-CN"/>
        </w:rPr>
      </w:pPr>
      <w:bookmarkStart w:id="6" w:name="_Toc28537"/>
      <w:bookmarkStart w:id="7" w:name="_Toc25350"/>
      <w:bookmarkStart w:id="8" w:name="_Toc32371"/>
      <w:bookmarkStart w:id="9" w:name="_Toc4889"/>
      <w:r>
        <w:rPr>
          <w:rFonts w:hint="eastAsia" w:ascii="仿宋" w:hAnsi="仿宋" w:eastAsia="仿宋" w:cs="仿宋"/>
          <w:b/>
          <w:bCs/>
          <w:color w:val="auto"/>
          <w:sz w:val="48"/>
          <w:szCs w:val="36"/>
          <w:lang w:val="en-US" w:eastAsia="zh-CN"/>
        </w:rPr>
        <w:t>摘 要</w:t>
      </w:r>
      <w:bookmarkEnd w:id="6"/>
      <w:bookmarkEnd w:id="7"/>
      <w:bookmarkEnd w:id="8"/>
      <w:bookmarkEnd w:id="9"/>
    </w:p>
    <w:p w14:paraId="2D7A24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本次调查地块为原南通岸西化工有限公司地块，位于南通通州区十总镇。本地块东至通州东星纸品有限公司，西至池塘，南至骑四线，北至发展路，本次调查地块总占地面积14831m</w:t>
      </w:r>
      <w:r>
        <w:rPr>
          <w:rFonts w:hint="eastAsia" w:ascii="仿宋" w:hAnsi="仿宋" w:eastAsia="仿宋" w:cs="仿宋"/>
          <w:b w:val="0"/>
          <w:bCs w:val="0"/>
          <w:color w:val="auto"/>
          <w:sz w:val="24"/>
          <w:szCs w:val="32"/>
          <w:vertAlign w:val="superscript"/>
          <w:lang w:val="en-US" w:eastAsia="zh-CN"/>
        </w:rPr>
        <w:t>2</w:t>
      </w:r>
      <w:r>
        <w:rPr>
          <w:rFonts w:hint="eastAsia" w:ascii="仿宋" w:hAnsi="仿宋" w:eastAsia="仿宋" w:cs="仿宋"/>
          <w:b w:val="0"/>
          <w:bCs w:val="0"/>
          <w:color w:val="auto"/>
          <w:sz w:val="24"/>
          <w:szCs w:val="32"/>
          <w:lang w:val="en-US" w:eastAsia="zh-CN"/>
        </w:rPr>
        <w:t>（约22.23亩）。</w:t>
      </w:r>
    </w:p>
    <w:p w14:paraId="17D83986">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（1）地块基本情况</w:t>
      </w:r>
    </w:p>
    <w:p w14:paraId="4EA9C36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①地块当前及历史企业情况</w:t>
      </w:r>
    </w:p>
    <w:p w14:paraId="15B9F72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结合卫星影像及人员访谈得知，根据调查情况，地块早期为农田，2003年至2024年地块生产主体一直是南通岸西化工有限公司。该企业1988年于通州市骑岸镇西首处建厂，1993年开始运行，1993年至2004年，主要从事精制荧光增白剂PF的生产；于2003年从通州市骑岸镇西首搬至通州市骑岸镇北首（本次调查地块），于2004年正式在本次调查地块内生产；2004年至2020年，主要从事荧光增白剂PF精制以及荧光增白剂DT水剂复配的生产；企业于2020年关停，设备于2020年至2023年期间陆续拆除，危废仓库内遗留的物料均安全处置；2024年生产区已拆除完成，目前遗留部分非生产区（传达室、生活区、值班室、机修车间、小试中心）。地块目前为封闭状态，四周围墙均存在，大门均上锁。</w:t>
      </w:r>
    </w:p>
    <w:p w14:paraId="7671E3C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②地块行政处罚情况</w:t>
      </w:r>
    </w:p>
    <w:p w14:paraId="247C71C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根据人员访谈及在通州生态环境局收集到的资料，本次调查地块共收到四次行政处罚具体详见附件：</w:t>
      </w:r>
    </w:p>
    <w:p w14:paraId="56BFF1C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通环罚字[2016]第125号，处罚原因：未经环保审批手续，擅自新增设备进行生产；</w:t>
      </w:r>
    </w:p>
    <w:p w14:paraId="6D1EF6A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通环罚字[2017]第60号，处罚原因：恶臭浓度超过《恶臭污染物排放标准》(GB14553-93)相应排放限值0.15倍。上述超标的原因在于对DMF废水池未能采取有效密闭措施所致。</w:t>
      </w:r>
    </w:p>
    <w:p w14:paraId="750E63B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通环罚字[2018]第16号，处罚原因：在使用140万大卡燃煤导热油炉时擅自停运配套的水膜除尘设备；</w:t>
      </w:r>
    </w:p>
    <w:p w14:paraId="05A4909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通环罚字[2018]第17号，处罚原因：露天堆放贮存荧光增白剂水剂DT的塑料周转空桶，并发生增白剂残液外流至地面。</w:t>
      </w:r>
    </w:p>
    <w:p w14:paraId="584D314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③地块土壤调查情况</w:t>
      </w:r>
    </w:p>
    <w:p w14:paraId="01295A5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根据收集的材料，原南通岸西化工有限公司地块曾于2019年由中设设计集团股份有限公司开展过重点行业企业调查，并出具《南通岸西化工有限公司地块在产企业地块信息风险筛查报告》，</w:t>
      </w:r>
      <w:r>
        <w:rPr>
          <w:rFonts w:hint="eastAsia" w:ascii="仿宋" w:hAnsi="仿宋" w:eastAsia="仿宋" w:cs="仿宋"/>
          <w:b/>
          <w:bCs/>
          <w:color w:val="auto"/>
          <w:sz w:val="24"/>
          <w:szCs w:val="24"/>
          <w:lang w:val="en-US" w:eastAsia="zh-CN"/>
        </w:rPr>
        <w:t>不属于高风险遗留地块，风险筛查等级为中度关注地块。</w:t>
      </w:r>
      <w:r>
        <w:rPr>
          <w:rFonts w:hint="eastAsia" w:ascii="仿宋" w:hAnsi="仿宋" w:eastAsia="仿宋" w:cs="仿宋"/>
          <w:color w:val="auto"/>
          <w:sz w:val="24"/>
          <w:szCs w:val="24"/>
          <w:lang w:val="en-US" w:eastAsia="zh-CN"/>
        </w:rPr>
        <w:t>地块历史上开展过两次土壤污染状况调查。①2021年江苏环保产业技术研究院股份公司中标通州区2020年关闭退出化工企业用地土壤污染状况调查项目（项目编号：ZC20210492）标段一（7个地块），受南通市通州生态环境局委托，对原南通岸西化工有限公司地块开展土壤污染现状调查工作，调查范围为原南通岸西化工有限公司全部厂区及骑岸污水处理厂，总面积为：约14700m</w:t>
      </w:r>
      <w:r>
        <w:rPr>
          <w:rFonts w:hint="eastAsia" w:ascii="仿宋" w:hAnsi="仿宋" w:eastAsia="仿宋" w:cs="仿宋"/>
          <w:color w:val="auto"/>
          <w:sz w:val="24"/>
          <w:szCs w:val="24"/>
          <w:vertAlign w:val="superscript"/>
          <w:lang w:val="en-US" w:eastAsia="zh-CN"/>
        </w:rPr>
        <w:t>2</w:t>
      </w:r>
      <w:r>
        <w:rPr>
          <w:rFonts w:hint="eastAsia" w:ascii="仿宋" w:hAnsi="仿宋" w:eastAsia="仿宋" w:cs="仿宋"/>
          <w:color w:val="auto"/>
          <w:sz w:val="24"/>
          <w:szCs w:val="24"/>
          <w:lang w:val="en-US" w:eastAsia="zh-CN"/>
        </w:rPr>
        <w:t>。②2022年因委托方南通岸西化工有限公司需土地转让，委托布鲁环境技术（南通）有限公司对该地块进行土壤污染状况调查，在进行专家评审时，因调查地块不满足土壤污染状况调查（完全调查）的要求，南通市通州生态环境局和专家建议，将土壤污染状况调查改为土壤污染现状调查并出具报告咨询意见，调查范围为原南通岸西化工有限公司部分厂区（不包括配电间、锅炉房、煤场、设备暂存室、粉碎车间、仓库、消防池、应急池、污水池），总占地面积为7570m</w:t>
      </w:r>
      <w:r>
        <w:rPr>
          <w:rFonts w:hint="eastAsia" w:ascii="仿宋" w:hAnsi="仿宋" w:eastAsia="仿宋" w:cs="仿宋"/>
          <w:color w:val="auto"/>
          <w:sz w:val="24"/>
          <w:szCs w:val="24"/>
          <w:vertAlign w:val="superscript"/>
          <w:lang w:val="en-US" w:eastAsia="zh-CN"/>
        </w:rPr>
        <w:t>2</w:t>
      </w:r>
      <w:r>
        <w:rPr>
          <w:rFonts w:hint="eastAsia" w:ascii="仿宋" w:hAnsi="仿宋" w:eastAsia="仿宋" w:cs="仿宋"/>
          <w:color w:val="auto"/>
          <w:sz w:val="24"/>
          <w:szCs w:val="24"/>
          <w:lang w:val="en-US" w:eastAsia="zh-CN"/>
        </w:rPr>
        <w:t>。两次调查结果均显示：土壤和地下水中均有部分因子超标。</w:t>
      </w:r>
    </w:p>
    <w:p w14:paraId="7D3118D9">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③地块周边当前及历史企业情况</w:t>
      </w:r>
    </w:p>
    <w:p w14:paraId="50F4BFC1">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color w:val="auto"/>
          <w:sz w:val="24"/>
          <w:szCs w:val="24"/>
          <w:lang w:val="en-US" w:eastAsia="zh-CN"/>
        </w:rPr>
        <w:t>地块周边500m范围内历史上和现在存在多家企业，大多为机加工、纺织印染型企业，其中距离本次调查地块最近的企业为骑岸污水处理站，据调查，骑岸污水处理站在日常调查土壤和地下水检测、废气季度监测中均未出现超标现象，未受到过行政处罚。</w:t>
      </w:r>
    </w:p>
    <w:p w14:paraId="5FC51DB0">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（3）项目由来及准备工作</w:t>
      </w:r>
    </w:p>
    <w:p w14:paraId="5E9D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本次调查范围内用地性质主要为工业用地、部分属村集体用地。根据《南通市通州区十总镇工业集中区开发建设规划（2023-2035年）环境影响报告书》，该地块未来规划为工业用地和公用设施用地。因此本次调查评价标准按《土壤环境质量 建设用地土壤污染风险管控标准（试行）》（GB36600-2018）中第二类用地评价标准进行评价。</w:t>
      </w:r>
    </w:p>
    <w:p w14:paraId="52D04B3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通州区产业结构调整，一批化工、电镀等土壤污染重点行业企业逐步关闭退出，根据南通市通州生态环境局于2024年1月3日发布的《关于原南通岸西化工有限公司地块后续土壤污染防治工作的通知》（通州环〔2024]1号），为及时发现企业在生产经营活动中可能造成的土壤和地下水污染，防止后期开发利用时土壤和地下水污染影响人民群众身体健康，原南通岸西化工有限公司地块应于建（构）筑物完全拆除后立即开展土壤污染状况补充调查，进一步明确土壤和地下水环境污染状况。南通岸西化工有限公司现已将地块出让给南通江润新能源科技有限公司，并于2024年取得土地证，现南通江润新能源科技有限公司准备利用本地块进行生产活动。因此，南通江润新能源科技有限公司委托江苏标普检测科技有限公司对原南通岸西化工有限公司地块土壤污染状况进行调查。</w:t>
      </w:r>
      <w:r>
        <w:rPr>
          <w:rFonts w:hint="eastAsia" w:ascii="仿宋" w:hAnsi="仿宋" w:eastAsia="仿宋" w:cs="仿宋"/>
          <w:color w:val="auto"/>
          <w:sz w:val="24"/>
          <w:szCs w:val="24"/>
          <w:lang w:val="en-US" w:eastAsia="zh-CN"/>
        </w:rPr>
        <w:t>我司组织项目组成员对调查地块进行现场踏勘、调查，收集了有关资料，并委托江苏恒安检测技术有限公司进行现场钻探取样工作。样品集采及样品检测分析由</w:t>
      </w:r>
      <w:r>
        <w:rPr>
          <w:rFonts w:hint="eastAsia" w:ascii="仿宋" w:hAnsi="仿宋" w:eastAsia="仿宋" w:cs="仿宋"/>
          <w:b w:val="0"/>
          <w:bCs/>
          <w:color w:val="auto"/>
          <w:kern w:val="2"/>
          <w:sz w:val="24"/>
          <w:szCs w:val="24"/>
          <w:vertAlign w:val="baseline"/>
          <w:lang w:val="en-US" w:eastAsia="zh-CN" w:bidi="ar-SA"/>
        </w:rPr>
        <w:t>江苏格林勒斯检测科技有限公司</w:t>
      </w:r>
      <w:r>
        <w:rPr>
          <w:rFonts w:hint="eastAsia" w:ascii="仿宋" w:hAnsi="仿宋" w:eastAsia="仿宋" w:cs="仿宋"/>
          <w:color w:val="auto"/>
          <w:sz w:val="24"/>
          <w:szCs w:val="24"/>
          <w:lang w:val="en-US" w:eastAsia="zh-CN"/>
        </w:rPr>
        <w:t>（具有CMA资质）负责。</w:t>
      </w:r>
    </w:p>
    <w:p w14:paraId="69A6DAE9">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ind w:left="480" w:leftChars="0"/>
        <w:textAlignment w:val="auto"/>
        <w:outlineLvl w:val="9"/>
        <w:rPr>
          <w:rFonts w:hint="eastAsia" w:ascii="仿宋" w:hAnsi="仿宋" w:eastAsia="仿宋" w:cs="仿宋"/>
          <w:b/>
          <w:bCs/>
          <w:color w:val="auto"/>
          <w:sz w:val="24"/>
          <w:szCs w:val="24"/>
          <w:lang w:val="en-US" w:eastAsia="zh-CN"/>
        </w:rPr>
      </w:pPr>
      <w:bookmarkStart w:id="10" w:name="_Toc5347"/>
      <w:bookmarkStart w:id="11" w:name="_Toc249"/>
      <w:r>
        <w:rPr>
          <w:rFonts w:hint="eastAsia" w:ascii="仿宋" w:hAnsi="仿宋" w:eastAsia="仿宋" w:cs="仿宋"/>
          <w:b/>
          <w:bCs/>
          <w:color w:val="auto"/>
          <w:sz w:val="24"/>
          <w:szCs w:val="24"/>
          <w:lang w:val="en-US" w:eastAsia="zh-CN"/>
        </w:rPr>
        <w:t>一、第一阶段土壤污染状况调查</w:t>
      </w:r>
      <w:bookmarkEnd w:id="10"/>
      <w:bookmarkEnd w:id="11"/>
    </w:p>
    <w:p w14:paraId="103F99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color w:val="auto"/>
          <w:sz w:val="24"/>
          <w:szCs w:val="24"/>
          <w:lang w:val="en-US" w:eastAsia="zh-CN"/>
        </w:rPr>
        <w:t>第一</w:t>
      </w:r>
      <w:r>
        <w:rPr>
          <w:rFonts w:hint="eastAsia" w:ascii="仿宋" w:hAnsi="仿宋" w:eastAsia="仿宋" w:cs="仿宋"/>
          <w:b w:val="0"/>
          <w:bCs w:val="0"/>
          <w:color w:val="auto"/>
          <w:sz w:val="24"/>
          <w:szCs w:val="32"/>
          <w:lang w:val="en-US" w:eastAsia="zh-CN"/>
        </w:rPr>
        <w:t>阶段调查工作开展时间为2023年3月，根据调查情况，地块早期为农田，2003年至2024年地块生产主体一直是南通岸西化工有限公司。该企业1988年于通州市骑岸镇西首处建厂，1993年开始运行，1993年至2004年，主要从事精制荧光增白剂PF的生产；于2003年从通州市骑岸镇西首搬至通州市骑岸镇北首（本次调查地块），于2004年正式在本次调查地块内生产；2004年至2020年，主要从事荧光增白剂PF精制以及荧光增白剂DT水剂复配的生产；企业于2020年关停，设备于2020年至2023年期间陆续拆除，危废仓库内遗留的物料均安全处置；2024年生产区已拆除完成，目前遗留部分非生产区（传达室、生活区、值班室、机修车间、小试中心）。地块目前为封闭状态，四周围墙均存在，大门均上锁。</w:t>
      </w:r>
    </w:p>
    <w:p w14:paraId="2682BBA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default" w:ascii="仿宋" w:hAnsi="仿宋" w:eastAsia="仿宋" w:cs="仿宋"/>
          <w:color w:val="auto"/>
          <w:sz w:val="24"/>
          <w:szCs w:val="24"/>
          <w:lang w:val="en-US" w:eastAsia="zh-CN"/>
        </w:rPr>
      </w:pPr>
      <w:r>
        <w:rPr>
          <w:rFonts w:hint="eastAsia" w:ascii="仿宋" w:hAnsi="仿宋" w:eastAsia="仿宋" w:cs="仿宋"/>
          <w:b w:val="0"/>
          <w:bCs w:val="0"/>
          <w:color w:val="auto"/>
          <w:sz w:val="24"/>
          <w:szCs w:val="32"/>
          <w:lang w:val="en-US" w:eastAsia="zh-CN"/>
        </w:rPr>
        <w:t>根据调查结果，地块内企业在产时涉及的潜在污染物有</w:t>
      </w:r>
      <w:r>
        <w:rPr>
          <w:rFonts w:hint="eastAsia" w:ascii="仿宋" w:hAnsi="仿宋" w:eastAsia="仿宋" w:cs="仿宋"/>
          <w:b w:val="0"/>
          <w:bCs w:val="0"/>
          <w:color w:val="auto"/>
          <w:kern w:val="2"/>
          <w:sz w:val="24"/>
          <w:szCs w:val="32"/>
          <w:lang w:val="en-US" w:eastAsia="zh-CN" w:bidi="ar-SA"/>
        </w:rPr>
        <w:t>1.2-双(5-甲基-2-苯并恶唑基)-乙烯、N,N-二甲基甲酰胺、苯甲酸、钠、氯化钠、甲醇、乙基苯基聚乙二醇、亚甲基双萘磺酸钠、pH、氯化钠、石油烃（C</w:t>
      </w:r>
      <w:r>
        <w:rPr>
          <w:rFonts w:hint="eastAsia" w:ascii="仿宋" w:hAnsi="仿宋" w:eastAsia="仿宋" w:cs="仿宋"/>
          <w:b w:val="0"/>
          <w:bCs w:val="0"/>
          <w:color w:val="auto"/>
          <w:kern w:val="2"/>
          <w:sz w:val="24"/>
          <w:szCs w:val="32"/>
          <w:vertAlign w:val="subscript"/>
          <w:lang w:val="en-US" w:eastAsia="zh-CN" w:bidi="ar-SA"/>
        </w:rPr>
        <w:t>10</w:t>
      </w:r>
      <w:r>
        <w:rPr>
          <w:rFonts w:hint="eastAsia" w:ascii="仿宋" w:hAnsi="仿宋" w:eastAsia="仿宋" w:cs="仿宋"/>
          <w:b w:val="0"/>
          <w:bCs w:val="0"/>
          <w:color w:val="auto"/>
          <w:kern w:val="2"/>
          <w:sz w:val="24"/>
          <w:szCs w:val="32"/>
          <w:lang w:val="en-US" w:eastAsia="zh-CN" w:bidi="ar-SA"/>
        </w:rPr>
        <w:t>-C</w:t>
      </w:r>
      <w:r>
        <w:rPr>
          <w:rFonts w:hint="eastAsia" w:ascii="仿宋" w:hAnsi="仿宋" w:eastAsia="仿宋" w:cs="仿宋"/>
          <w:b w:val="0"/>
          <w:bCs w:val="0"/>
          <w:color w:val="auto"/>
          <w:kern w:val="2"/>
          <w:sz w:val="24"/>
          <w:szCs w:val="32"/>
          <w:vertAlign w:val="subscript"/>
          <w:lang w:val="en-US" w:eastAsia="zh-CN" w:bidi="ar-SA"/>
        </w:rPr>
        <w:t>40</w:t>
      </w:r>
      <w:r>
        <w:rPr>
          <w:rFonts w:hint="eastAsia" w:ascii="仿宋" w:hAnsi="仿宋" w:eastAsia="仿宋" w:cs="仿宋"/>
          <w:b w:val="0"/>
          <w:bCs w:val="0"/>
          <w:color w:val="auto"/>
          <w:kern w:val="2"/>
          <w:sz w:val="24"/>
          <w:szCs w:val="32"/>
          <w:lang w:val="en-US" w:eastAsia="zh-CN" w:bidi="ar-SA"/>
        </w:rPr>
        <w:t>）、苯甲酸、钠、甲醇、硫化物、氟化物、砷、铅、六价铬、汞、氮氧化物、氨氮。</w:t>
      </w:r>
    </w:p>
    <w:p w14:paraId="206B9FE0">
      <w:pPr>
        <w:pStyle w:val="2"/>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调查地块周围500m范围内的敏感目标为地表水、居民区、学校等。周边500m范围内当前和历史上存在多家企业，主要为纺织企业、机械加工企业、污水处理厂等，距离本次调查地块最近的企业为紧邻地块的骑岸污水处理厂。骑岸污水处理站主要处理生活污水，定期进行废气废水监测，且具备日常在线监测。</w:t>
      </w:r>
      <w:r>
        <w:rPr>
          <w:rFonts w:hint="eastAsia" w:ascii="仿宋" w:hAnsi="仿宋" w:eastAsia="仿宋" w:cs="仿宋"/>
          <w:b w:val="0"/>
          <w:bCs w:val="0"/>
          <w:color w:val="auto"/>
          <w:kern w:val="2"/>
          <w:sz w:val="24"/>
          <w:szCs w:val="24"/>
          <w:lang w:val="en-US" w:eastAsia="zh-CN" w:bidi="ar-SA"/>
        </w:rPr>
        <w:t>本次调查地块周边地块主要的潜在污染因子主要为石油烃（C</w:t>
      </w:r>
      <w:r>
        <w:rPr>
          <w:rFonts w:hint="eastAsia" w:ascii="仿宋" w:hAnsi="仿宋" w:eastAsia="仿宋" w:cs="仿宋"/>
          <w:b w:val="0"/>
          <w:bCs w:val="0"/>
          <w:color w:val="auto"/>
          <w:kern w:val="2"/>
          <w:sz w:val="24"/>
          <w:szCs w:val="24"/>
          <w:vertAlign w:val="subscript"/>
          <w:lang w:val="en-US" w:eastAsia="zh-CN" w:bidi="ar-SA"/>
        </w:rPr>
        <w:t>10</w:t>
      </w:r>
      <w:r>
        <w:rPr>
          <w:rFonts w:hint="eastAsia" w:ascii="仿宋" w:hAnsi="仿宋" w:eastAsia="仿宋" w:cs="仿宋"/>
          <w:b w:val="0"/>
          <w:bCs w:val="0"/>
          <w:color w:val="auto"/>
          <w:kern w:val="2"/>
          <w:sz w:val="24"/>
          <w:szCs w:val="24"/>
          <w:lang w:val="en-US" w:eastAsia="zh-CN" w:bidi="ar-SA"/>
        </w:rPr>
        <w:t>-C</w:t>
      </w:r>
      <w:r>
        <w:rPr>
          <w:rFonts w:hint="eastAsia" w:ascii="仿宋" w:hAnsi="仿宋" w:eastAsia="仿宋" w:cs="仿宋"/>
          <w:b w:val="0"/>
          <w:bCs w:val="0"/>
          <w:color w:val="auto"/>
          <w:kern w:val="2"/>
          <w:sz w:val="24"/>
          <w:szCs w:val="24"/>
          <w:vertAlign w:val="subscript"/>
          <w:lang w:val="en-US" w:eastAsia="zh-CN" w:bidi="ar-SA"/>
        </w:rPr>
        <w:t>40</w:t>
      </w:r>
      <w:r>
        <w:rPr>
          <w:rFonts w:hint="eastAsia" w:ascii="仿宋" w:hAnsi="仿宋" w:eastAsia="仿宋" w:cs="仿宋"/>
          <w:b w:val="0"/>
          <w:bCs w:val="0"/>
          <w:color w:val="auto"/>
          <w:kern w:val="2"/>
          <w:sz w:val="24"/>
          <w:szCs w:val="24"/>
          <w:lang w:val="en-US" w:eastAsia="zh-CN" w:bidi="ar-SA"/>
        </w:rPr>
        <w:t>）、硫化氢、挥发性有机物、动植物油、总磷、总汞、总铅、总铬、总氮、pH、氨氮、总砷、粪大肠菌群、六价铬</w:t>
      </w:r>
      <w:r>
        <w:rPr>
          <w:rFonts w:hint="default" w:ascii="仿宋" w:hAnsi="仿宋" w:eastAsia="仿宋" w:cs="仿宋"/>
          <w:b w:val="0"/>
          <w:bCs w:val="0"/>
          <w:color w:val="auto"/>
          <w:kern w:val="2"/>
          <w:sz w:val="24"/>
          <w:szCs w:val="24"/>
          <w:lang w:val="en-US" w:eastAsia="zh-CN" w:bidi="ar-SA"/>
        </w:rPr>
        <w:t>、氨</w:t>
      </w:r>
      <w:r>
        <w:rPr>
          <w:rFonts w:hint="eastAsia" w:ascii="仿宋" w:hAnsi="仿宋" w:eastAsia="仿宋" w:cs="仿宋"/>
          <w:b w:val="0"/>
          <w:bCs w:val="0"/>
          <w:color w:val="auto"/>
          <w:kern w:val="2"/>
          <w:sz w:val="24"/>
          <w:szCs w:val="24"/>
          <w:lang w:val="en-US" w:eastAsia="zh-CN" w:bidi="ar-SA"/>
        </w:rPr>
        <w:t>、丙烯腈、丁二烯、苯乙烯、1</w:t>
      </w:r>
      <w:r>
        <w:rPr>
          <w:rFonts w:hint="default" w:ascii="仿宋" w:hAnsi="仿宋" w:eastAsia="仿宋" w:cs="仿宋"/>
          <w:b w:val="0"/>
          <w:bCs w:val="0"/>
          <w:color w:val="auto"/>
          <w:kern w:val="2"/>
          <w:sz w:val="24"/>
          <w:szCs w:val="24"/>
          <w:lang w:val="en-US" w:eastAsia="zh-CN" w:bidi="ar-SA"/>
        </w:rPr>
        <w:t>,4-</w:t>
      </w:r>
      <w:r>
        <w:rPr>
          <w:rFonts w:hint="eastAsia" w:ascii="仿宋" w:hAnsi="仿宋" w:eastAsia="仿宋" w:cs="仿宋"/>
          <w:b w:val="0"/>
          <w:bCs w:val="0"/>
          <w:color w:val="auto"/>
          <w:kern w:val="2"/>
          <w:sz w:val="24"/>
          <w:szCs w:val="24"/>
          <w:lang w:val="en-US" w:eastAsia="zh-CN" w:bidi="ar-SA"/>
        </w:rPr>
        <w:t>环己烷二甲醇、氯化氢、二氧化硫、铜、</w:t>
      </w:r>
      <w:r>
        <w:rPr>
          <w:rFonts w:hint="default" w:ascii="仿宋" w:hAnsi="仿宋" w:eastAsia="仿宋" w:cs="仿宋"/>
          <w:b w:val="0"/>
          <w:bCs w:val="0"/>
          <w:color w:val="auto"/>
          <w:kern w:val="2"/>
          <w:sz w:val="24"/>
          <w:szCs w:val="24"/>
          <w:lang w:val="en-US" w:eastAsia="zh-CN" w:bidi="ar-SA"/>
        </w:rPr>
        <w:t>非甲烷总烃</w:t>
      </w:r>
      <w:r>
        <w:rPr>
          <w:rFonts w:hint="eastAsia" w:ascii="仿宋" w:hAnsi="仿宋" w:eastAsia="仿宋" w:cs="仿宋"/>
          <w:b w:val="0"/>
          <w:bCs w:val="0"/>
          <w:color w:val="auto"/>
          <w:kern w:val="2"/>
          <w:sz w:val="24"/>
          <w:szCs w:val="24"/>
          <w:lang w:val="en-US" w:eastAsia="zh-CN" w:bidi="ar-SA"/>
        </w:rPr>
        <w:t>、铝、铜、阴离子表面活性剂、铁、锡、锰、石油烃（C</w:t>
      </w:r>
      <w:r>
        <w:rPr>
          <w:rFonts w:hint="eastAsia" w:ascii="仿宋" w:hAnsi="仿宋" w:eastAsia="仿宋" w:cs="仿宋"/>
          <w:b w:val="0"/>
          <w:bCs w:val="0"/>
          <w:color w:val="auto"/>
          <w:kern w:val="2"/>
          <w:sz w:val="24"/>
          <w:szCs w:val="24"/>
          <w:vertAlign w:val="subscript"/>
          <w:lang w:val="en-US" w:eastAsia="zh-CN" w:bidi="ar-SA"/>
        </w:rPr>
        <w:t>6</w:t>
      </w:r>
      <w:r>
        <w:rPr>
          <w:rFonts w:hint="eastAsia" w:ascii="仿宋" w:hAnsi="仿宋" w:eastAsia="仿宋" w:cs="仿宋"/>
          <w:b w:val="0"/>
          <w:bCs w:val="0"/>
          <w:color w:val="auto"/>
          <w:kern w:val="2"/>
          <w:sz w:val="24"/>
          <w:szCs w:val="24"/>
          <w:lang w:val="en-US" w:eastAsia="zh-CN" w:bidi="ar-SA"/>
        </w:rPr>
        <w:t>-C</w:t>
      </w:r>
      <w:r>
        <w:rPr>
          <w:rFonts w:hint="eastAsia" w:ascii="仿宋" w:hAnsi="仿宋" w:eastAsia="仿宋" w:cs="仿宋"/>
          <w:b w:val="0"/>
          <w:bCs w:val="0"/>
          <w:color w:val="auto"/>
          <w:kern w:val="2"/>
          <w:sz w:val="24"/>
          <w:szCs w:val="24"/>
          <w:vertAlign w:val="subscript"/>
          <w:lang w:val="en-US" w:eastAsia="zh-CN" w:bidi="ar-SA"/>
        </w:rPr>
        <w:t>9</w:t>
      </w:r>
      <w:r>
        <w:rPr>
          <w:rFonts w:hint="eastAsia" w:ascii="仿宋" w:hAnsi="仿宋" w:eastAsia="仿宋" w:cs="仿宋"/>
          <w:b w:val="0"/>
          <w:bCs w:val="0"/>
          <w:color w:val="auto"/>
          <w:kern w:val="2"/>
          <w:sz w:val="24"/>
          <w:szCs w:val="24"/>
          <w:lang w:val="en-US" w:eastAsia="zh-CN" w:bidi="ar-SA"/>
        </w:rPr>
        <w:t>）、硫化物、多环芳烃、氟化物、砷、铅、六价铬、丙烯酸、乙二醇、甲基叔丁基醚、甲苯、乙苯、甲醛。</w:t>
      </w:r>
    </w:p>
    <w:p w14:paraId="0F0E342A">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outlineLvl w:val="9"/>
        <w:rPr>
          <w:rFonts w:hint="eastAsia" w:ascii="仿宋" w:hAnsi="仿宋" w:eastAsia="仿宋" w:cs="仿宋"/>
          <w:b/>
          <w:bCs/>
          <w:color w:val="auto"/>
          <w:lang w:val="en-US" w:eastAsia="zh-CN"/>
        </w:rPr>
      </w:pPr>
      <w:bookmarkStart w:id="12" w:name="_Toc10178"/>
      <w:bookmarkStart w:id="13" w:name="_Toc19775"/>
      <w:r>
        <w:rPr>
          <w:rFonts w:hint="eastAsia" w:ascii="仿宋" w:hAnsi="仿宋" w:eastAsia="仿宋" w:cs="仿宋"/>
          <w:b/>
          <w:bCs/>
          <w:color w:val="auto"/>
          <w:lang w:val="en-US" w:eastAsia="zh-CN"/>
        </w:rPr>
        <w:t>二、初步采样调查</w:t>
      </w:r>
      <w:bookmarkEnd w:id="12"/>
      <w:bookmarkEnd w:id="13"/>
    </w:p>
    <w:p w14:paraId="2F6D93A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第二阶段土壤污染状况调查初步采样开始时间为2024年5月29日。本次土壤污染状况调查共布设25个土壤采样点位（包含一个土壤对照采样点），土壤点位采样深度为6m，共送检110个土壤样品（包括4个对照土样品，10个平行样），检测项目包括：pH值、GB36600中表1基本项目45项、石油烃（C</w:t>
      </w:r>
      <w:r>
        <w:rPr>
          <w:rFonts w:hint="eastAsia" w:ascii="仿宋" w:hAnsi="仿宋" w:eastAsia="仿宋" w:cs="仿宋"/>
          <w:color w:val="auto"/>
          <w:sz w:val="24"/>
          <w:szCs w:val="24"/>
          <w:vertAlign w:val="subscript"/>
          <w:lang w:val="en-US" w:eastAsia="zh-CN"/>
        </w:rPr>
        <w:t>10</w:t>
      </w:r>
      <w:r>
        <w:rPr>
          <w:rFonts w:hint="eastAsia" w:ascii="仿宋" w:hAnsi="仿宋" w:eastAsia="仿宋" w:cs="仿宋"/>
          <w:color w:val="auto"/>
          <w:sz w:val="24"/>
          <w:szCs w:val="24"/>
          <w:lang w:val="en-US" w:eastAsia="zh-CN"/>
        </w:rPr>
        <w:t>-C</w:t>
      </w:r>
      <w:r>
        <w:rPr>
          <w:rFonts w:hint="eastAsia" w:ascii="仿宋" w:hAnsi="仿宋" w:eastAsia="仿宋" w:cs="仿宋"/>
          <w:color w:val="auto"/>
          <w:sz w:val="24"/>
          <w:szCs w:val="24"/>
          <w:vertAlign w:val="subscript"/>
          <w:lang w:val="en-US" w:eastAsia="zh-CN"/>
        </w:rPr>
        <w:t>40</w:t>
      </w:r>
      <w:r>
        <w:rPr>
          <w:rFonts w:hint="eastAsia" w:ascii="仿宋" w:hAnsi="仿宋" w:eastAsia="仿宋" w:cs="仿宋"/>
          <w:color w:val="auto"/>
          <w:sz w:val="24"/>
          <w:szCs w:val="24"/>
          <w:lang w:val="en-US" w:eastAsia="zh-CN"/>
        </w:rPr>
        <w:t>）、石油烃（C</w:t>
      </w:r>
      <w:r>
        <w:rPr>
          <w:rFonts w:hint="eastAsia" w:ascii="仿宋" w:hAnsi="仿宋" w:eastAsia="仿宋" w:cs="仿宋"/>
          <w:color w:val="auto"/>
          <w:sz w:val="24"/>
          <w:szCs w:val="24"/>
          <w:vertAlign w:val="subscript"/>
          <w:lang w:val="en-US" w:eastAsia="zh-CN"/>
        </w:rPr>
        <w:t>6</w:t>
      </w:r>
      <w:r>
        <w:rPr>
          <w:rFonts w:hint="eastAsia" w:ascii="仿宋" w:hAnsi="仿宋" w:eastAsia="仿宋" w:cs="仿宋"/>
          <w:color w:val="auto"/>
          <w:sz w:val="24"/>
          <w:szCs w:val="24"/>
          <w:lang w:val="en-US" w:eastAsia="zh-CN"/>
        </w:rPr>
        <w:t>-C</w:t>
      </w:r>
      <w:r>
        <w:rPr>
          <w:rFonts w:hint="eastAsia" w:ascii="仿宋" w:hAnsi="仿宋" w:eastAsia="仿宋" w:cs="仿宋"/>
          <w:color w:val="auto"/>
          <w:sz w:val="24"/>
          <w:szCs w:val="24"/>
          <w:vertAlign w:val="subscript"/>
          <w:lang w:val="en-US" w:eastAsia="zh-CN"/>
        </w:rPr>
        <w:t>9</w:t>
      </w:r>
      <w:r>
        <w:rPr>
          <w:rFonts w:hint="eastAsia" w:ascii="仿宋" w:hAnsi="仿宋" w:eastAsia="仿宋" w:cs="仿宋"/>
          <w:color w:val="auto"/>
          <w:sz w:val="24"/>
          <w:szCs w:val="24"/>
          <w:lang w:val="en-US" w:eastAsia="zh-CN"/>
        </w:rPr>
        <w:t>）、甲基叔丁基醚、丙烯腈、丁二烯、铝、氯化物、硫化物、氟化物、铁、苯甲酸、甲醇、N,N-二甲基甲酰胺、氨氮、总铬、铝、铁、锰、锡。</w:t>
      </w:r>
    </w:p>
    <w:p w14:paraId="298C548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b w:val="0"/>
          <w:bCs w:val="0"/>
          <w:color w:val="auto"/>
          <w:kern w:val="2"/>
          <w:sz w:val="24"/>
          <w:szCs w:val="24"/>
          <w:highlight w:val="none"/>
          <w:lang w:val="en-US" w:eastAsia="zh-CN" w:bidi="ar-SA"/>
        </w:rPr>
        <w:t>本次调查地块内</w:t>
      </w:r>
      <w:r>
        <w:rPr>
          <w:rFonts w:hint="eastAsia" w:ascii="仿宋" w:hAnsi="仿宋" w:eastAsia="仿宋" w:cs="仿宋"/>
          <w:color w:val="auto"/>
          <w:lang w:val="en-US" w:eastAsia="zh-CN"/>
        </w:rPr>
        <w:t>共布设18个地下水监测井（包含一个地下水对照采样点），井深不少于6m，采集20个地下水样品（包含2个平行样），</w:t>
      </w:r>
      <w:r>
        <w:rPr>
          <w:rFonts w:hint="eastAsia" w:ascii="仿宋" w:hAnsi="仿宋" w:eastAsia="仿宋" w:cs="仿宋"/>
          <w:color w:val="auto"/>
          <w:sz w:val="24"/>
          <w:szCs w:val="24"/>
          <w:lang w:val="en-US" w:eastAsia="zh-CN"/>
        </w:rPr>
        <w:t>检测项目包括：pH值、GB36600中表1基本项目45项、色度、氨氮、硫化物、氯化物、硫酸盐、耗氧量、硝酸盐、亚硝酸盐、氟化物、挥发酚、阴离子表面活性剂、嗅和味、浑浊度、肉眼可见物、总硬度、溶解性总固体、铝、铁、锰、锌、钠、碘化物、硒、石油烃（C</w:t>
      </w:r>
      <w:r>
        <w:rPr>
          <w:rFonts w:hint="eastAsia" w:ascii="仿宋" w:hAnsi="仿宋" w:eastAsia="仿宋" w:cs="仿宋"/>
          <w:color w:val="auto"/>
          <w:sz w:val="24"/>
          <w:szCs w:val="24"/>
          <w:vertAlign w:val="subscript"/>
          <w:lang w:val="en-US" w:eastAsia="zh-CN"/>
        </w:rPr>
        <w:t>10</w:t>
      </w:r>
      <w:r>
        <w:rPr>
          <w:rFonts w:hint="eastAsia" w:ascii="仿宋" w:hAnsi="仿宋" w:eastAsia="仿宋" w:cs="仿宋"/>
          <w:color w:val="auto"/>
          <w:sz w:val="24"/>
          <w:szCs w:val="24"/>
          <w:lang w:val="en-US" w:eastAsia="zh-CN"/>
        </w:rPr>
        <w:t>-C</w:t>
      </w:r>
      <w:r>
        <w:rPr>
          <w:rFonts w:hint="eastAsia" w:ascii="仿宋" w:hAnsi="仿宋" w:eastAsia="仿宋" w:cs="仿宋"/>
          <w:color w:val="auto"/>
          <w:sz w:val="24"/>
          <w:szCs w:val="24"/>
          <w:vertAlign w:val="subscript"/>
          <w:lang w:val="en-US" w:eastAsia="zh-CN"/>
        </w:rPr>
        <w:t>40</w:t>
      </w:r>
      <w:r>
        <w:rPr>
          <w:rFonts w:hint="eastAsia" w:ascii="仿宋" w:hAnsi="仿宋" w:eastAsia="仿宋" w:cs="仿宋"/>
          <w:color w:val="auto"/>
          <w:sz w:val="24"/>
          <w:szCs w:val="24"/>
          <w:lang w:val="en-US" w:eastAsia="zh-CN"/>
        </w:rPr>
        <w:t>）、石油烃（C</w:t>
      </w:r>
      <w:r>
        <w:rPr>
          <w:rFonts w:hint="eastAsia" w:ascii="仿宋" w:hAnsi="仿宋" w:eastAsia="仿宋" w:cs="仿宋"/>
          <w:color w:val="auto"/>
          <w:sz w:val="24"/>
          <w:szCs w:val="24"/>
          <w:vertAlign w:val="subscript"/>
          <w:lang w:val="en-US" w:eastAsia="zh-CN"/>
        </w:rPr>
        <w:t>6</w:t>
      </w:r>
      <w:r>
        <w:rPr>
          <w:rFonts w:hint="eastAsia" w:ascii="仿宋" w:hAnsi="仿宋" w:eastAsia="仿宋" w:cs="仿宋"/>
          <w:color w:val="auto"/>
          <w:sz w:val="24"/>
          <w:szCs w:val="24"/>
          <w:lang w:val="en-US" w:eastAsia="zh-CN"/>
        </w:rPr>
        <w:t>-C</w:t>
      </w:r>
      <w:r>
        <w:rPr>
          <w:rFonts w:hint="eastAsia" w:ascii="仿宋" w:hAnsi="仿宋" w:eastAsia="仿宋" w:cs="仿宋"/>
          <w:color w:val="auto"/>
          <w:sz w:val="24"/>
          <w:szCs w:val="24"/>
          <w:vertAlign w:val="subscript"/>
          <w:lang w:val="en-US" w:eastAsia="zh-CN"/>
        </w:rPr>
        <w:t>9</w:t>
      </w:r>
      <w:r>
        <w:rPr>
          <w:rFonts w:hint="eastAsia" w:ascii="仿宋" w:hAnsi="仿宋" w:eastAsia="仿宋" w:cs="仿宋"/>
          <w:color w:val="auto"/>
          <w:sz w:val="24"/>
          <w:szCs w:val="24"/>
          <w:lang w:val="en-US" w:eastAsia="zh-CN"/>
        </w:rPr>
        <w:t>）、甲基叔丁基醚、丙烯腈、丁二烯、氯化物、苯甲酸、甲醇、N,N-二甲基甲酰胺、总铬、锡、丙烯酸、甲醛。</w:t>
      </w:r>
    </w:p>
    <w:p w14:paraId="1B7E1D3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b w:val="0"/>
          <w:bCs w:val="0"/>
          <w:color w:val="auto"/>
          <w:kern w:val="2"/>
          <w:sz w:val="24"/>
          <w:szCs w:val="24"/>
          <w:highlight w:val="none"/>
          <w:lang w:val="en-US" w:eastAsia="zh-CN" w:bidi="ar-SA"/>
        </w:rPr>
        <w:t>本次调查地块内</w:t>
      </w:r>
      <w:r>
        <w:rPr>
          <w:rFonts w:hint="eastAsia" w:ascii="仿宋" w:hAnsi="仿宋" w:eastAsia="仿宋" w:cs="仿宋"/>
          <w:color w:val="auto"/>
          <w:lang w:val="en-US" w:eastAsia="zh-CN"/>
        </w:rPr>
        <w:t>共布设4个地表水采样点，采集5个地表水样品（包含1个平行样），</w:t>
      </w:r>
      <w:r>
        <w:rPr>
          <w:rFonts w:hint="eastAsia" w:ascii="仿宋" w:hAnsi="仿宋" w:eastAsia="仿宋" w:cs="仿宋"/>
          <w:color w:val="auto"/>
          <w:sz w:val="24"/>
          <w:szCs w:val="24"/>
          <w:lang w:val="en-US" w:eastAsia="zh-CN"/>
        </w:rPr>
        <w:t>检测项目包括：pH值、GB36600中表1基本项目45项、</w:t>
      </w:r>
      <w:r>
        <w:rPr>
          <w:rFonts w:hint="default" w:ascii="仿宋" w:hAnsi="仿宋" w:eastAsia="仿宋" w:cs="仿宋"/>
          <w:color w:val="auto"/>
          <w:sz w:val="24"/>
          <w:szCs w:val="24"/>
          <w:lang w:val="en-US" w:eastAsia="zh-CN"/>
        </w:rPr>
        <w:t>化学需氧量</w:t>
      </w:r>
      <w:r>
        <w:rPr>
          <w:rFonts w:hint="eastAsia" w:ascii="仿宋" w:hAnsi="仿宋" w:eastAsia="仿宋" w:cs="仿宋"/>
          <w:color w:val="auto"/>
          <w:sz w:val="24"/>
          <w:szCs w:val="24"/>
          <w:lang w:val="en-US" w:eastAsia="zh-CN"/>
        </w:rPr>
        <w:t>、色度、氨氮、硫化物、氯化物、硫酸盐、耗氧量、硝酸盐、亚硝酸盐、氟化物、挥发酚、阴离子表面活性剂、石油烃（C</w:t>
      </w:r>
      <w:r>
        <w:rPr>
          <w:rFonts w:hint="eastAsia" w:ascii="仿宋" w:hAnsi="仿宋" w:eastAsia="仿宋" w:cs="仿宋"/>
          <w:color w:val="auto"/>
          <w:sz w:val="24"/>
          <w:szCs w:val="24"/>
          <w:vertAlign w:val="subscript"/>
          <w:lang w:val="en-US" w:eastAsia="zh-CN"/>
        </w:rPr>
        <w:t>10</w:t>
      </w:r>
      <w:r>
        <w:rPr>
          <w:rFonts w:hint="eastAsia" w:ascii="仿宋" w:hAnsi="仿宋" w:eastAsia="仿宋" w:cs="仿宋"/>
          <w:color w:val="auto"/>
          <w:sz w:val="24"/>
          <w:szCs w:val="24"/>
          <w:lang w:val="en-US" w:eastAsia="zh-CN"/>
        </w:rPr>
        <w:t>-C</w:t>
      </w:r>
      <w:r>
        <w:rPr>
          <w:rFonts w:hint="eastAsia" w:ascii="仿宋" w:hAnsi="仿宋" w:eastAsia="仿宋" w:cs="仿宋"/>
          <w:color w:val="auto"/>
          <w:sz w:val="24"/>
          <w:szCs w:val="24"/>
          <w:vertAlign w:val="subscript"/>
          <w:lang w:val="en-US" w:eastAsia="zh-CN"/>
        </w:rPr>
        <w:t>40</w:t>
      </w:r>
      <w:r>
        <w:rPr>
          <w:rFonts w:hint="eastAsia" w:ascii="仿宋" w:hAnsi="仿宋" w:eastAsia="仿宋" w:cs="仿宋"/>
          <w:color w:val="auto"/>
          <w:sz w:val="24"/>
          <w:szCs w:val="24"/>
          <w:lang w:val="en-US" w:eastAsia="zh-CN"/>
        </w:rPr>
        <w:t>）、石油烃（C</w:t>
      </w:r>
      <w:r>
        <w:rPr>
          <w:rFonts w:hint="eastAsia" w:ascii="仿宋" w:hAnsi="仿宋" w:eastAsia="仿宋" w:cs="仿宋"/>
          <w:color w:val="auto"/>
          <w:sz w:val="24"/>
          <w:szCs w:val="24"/>
          <w:vertAlign w:val="subscript"/>
          <w:lang w:val="en-US" w:eastAsia="zh-CN"/>
        </w:rPr>
        <w:t>6</w:t>
      </w:r>
      <w:r>
        <w:rPr>
          <w:rFonts w:hint="eastAsia" w:ascii="仿宋" w:hAnsi="仿宋" w:eastAsia="仿宋" w:cs="仿宋"/>
          <w:color w:val="auto"/>
          <w:sz w:val="24"/>
          <w:szCs w:val="24"/>
          <w:lang w:val="en-US" w:eastAsia="zh-CN"/>
        </w:rPr>
        <w:t>-C</w:t>
      </w:r>
      <w:r>
        <w:rPr>
          <w:rFonts w:hint="eastAsia" w:ascii="仿宋" w:hAnsi="仿宋" w:eastAsia="仿宋" w:cs="仿宋"/>
          <w:color w:val="auto"/>
          <w:sz w:val="24"/>
          <w:szCs w:val="24"/>
          <w:vertAlign w:val="subscript"/>
          <w:lang w:val="en-US" w:eastAsia="zh-CN"/>
        </w:rPr>
        <w:t>9</w:t>
      </w:r>
      <w:r>
        <w:rPr>
          <w:rFonts w:hint="eastAsia" w:ascii="仿宋" w:hAnsi="仿宋" w:eastAsia="仿宋" w:cs="仿宋"/>
          <w:color w:val="auto"/>
          <w:sz w:val="24"/>
          <w:szCs w:val="24"/>
          <w:lang w:val="en-US" w:eastAsia="zh-CN"/>
        </w:rPr>
        <w:t>）、甲基叔丁基醚、丙烯腈、丁二烯、氯化物、苯甲酸、甲醇、N,N-二甲基甲酰胺、总铬、锡、丙烯酸、总磷、总氮、铝、铁、锰、甲醛。</w:t>
      </w:r>
    </w:p>
    <w:p w14:paraId="3E04DB34">
      <w:pPr>
        <w:keepNext w:val="0"/>
        <w:keepLines w:val="0"/>
        <w:pageBreakBefore w:val="0"/>
        <w:widowControl w:val="0"/>
        <w:numPr>
          <w:ilvl w:val="0"/>
          <w:numId w:val="2"/>
        </w:numPr>
        <w:kinsoku/>
        <w:wordWrap/>
        <w:overflowPunct/>
        <w:topLinePunct w:val="0"/>
        <w:autoSpaceDE/>
        <w:autoSpaceDN/>
        <w:bidi w:val="0"/>
        <w:adjustRightInd/>
        <w:snapToGrid/>
        <w:ind w:firstLine="482" w:firstLineChars="200"/>
        <w:textAlignment w:val="auto"/>
        <w:outlineLvl w:val="9"/>
        <w:rPr>
          <w:rFonts w:hint="eastAsia" w:ascii="仿宋" w:hAnsi="仿宋" w:eastAsia="仿宋" w:cs="仿宋"/>
          <w:b/>
          <w:bCs/>
          <w:color w:val="auto"/>
          <w:sz w:val="24"/>
          <w:szCs w:val="24"/>
          <w:lang w:val="en-US" w:eastAsia="zh-CN"/>
        </w:rPr>
      </w:pPr>
      <w:bookmarkStart w:id="14" w:name="_Toc4874"/>
      <w:bookmarkStart w:id="15" w:name="_Toc23280"/>
      <w:r>
        <w:rPr>
          <w:rFonts w:hint="eastAsia" w:ascii="仿宋" w:hAnsi="仿宋" w:eastAsia="仿宋" w:cs="仿宋"/>
          <w:b/>
          <w:bCs/>
          <w:color w:val="auto"/>
          <w:lang w:val="en-US" w:eastAsia="zh-CN"/>
        </w:rPr>
        <w:t>检测结果分析</w:t>
      </w:r>
      <w:bookmarkEnd w:id="14"/>
      <w:bookmarkEnd w:id="15"/>
    </w:p>
    <w:p w14:paraId="0C60383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（1）土壤：地块内土壤样品检出32种因子，</w:t>
      </w:r>
      <w:r>
        <w:rPr>
          <w:rFonts w:hint="eastAsia" w:ascii="仿宋" w:hAnsi="仿宋" w:eastAsia="仿宋" w:cs="仿宋"/>
          <w:color w:val="auto"/>
          <w:sz w:val="24"/>
          <w:szCs w:val="24"/>
        </w:rPr>
        <w:t>土壤各指标</w:t>
      </w:r>
      <w:r>
        <w:rPr>
          <w:rFonts w:hint="eastAsia" w:ascii="仿宋" w:hAnsi="仿宋" w:eastAsia="仿宋" w:cs="仿宋"/>
          <w:color w:val="auto"/>
          <w:sz w:val="24"/>
          <w:szCs w:val="24"/>
          <w:lang w:val="en-US" w:eastAsia="zh-CN"/>
        </w:rPr>
        <w:t>除铝指标以外，相关检测因子检出含量均不超过《土壤环境质量建设用地土壤污染风险管控标准（试行）》（GB36600-2018）中第二类用地筛选值标准、《深圳市 建设用地土壤污染风险筛选值和管制值》（DB4403/T 67—2020）、《河北省 建设用地土壤污染风险筛选值(DB13/T5216-2020）》表1中第二类用地筛选值、《江苏省 建设用地土壤污染风险筛选值（DB32/T 4712-2024）》。</w:t>
      </w:r>
    </w:p>
    <w:p w14:paraId="5C041C8E">
      <w:pPr>
        <w:pStyle w:val="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（2）地下水：</w:t>
      </w:r>
      <w:r>
        <w:rPr>
          <w:rFonts w:hint="eastAsia" w:ascii="仿宋" w:hAnsi="仿宋" w:eastAsia="仿宋" w:cs="仿宋"/>
          <w:b w:val="0"/>
          <w:bCs w:val="0"/>
          <w:color w:val="auto"/>
          <w:kern w:val="2"/>
          <w:sz w:val="24"/>
          <w:szCs w:val="24"/>
          <w:highlight w:val="none"/>
          <w:lang w:val="en-US" w:eastAsia="zh-CN" w:bidi="ar-SA"/>
        </w:rPr>
        <w:t>除总硬度、色度、耗氧量、溶解性固体总量、浊度、钠、砷、氯化物、挥发酚、氨氮阴离子表面活性剂、苯、氯苯、硫酸盐、硫化物、硝酸盐、碘化物、1.1-二氯乙烯指标外，其余检出指标均不超过《地下水质量标准》（GB/T 14848-2017）中IV类水标准及《上海市建设用地土壤污染状况调查、风险评估、风险管控与修复方案编制、风险管控与修复效果评估工作的补充规定（试行）》（沪环土[2020]62号）第二类用地筛选值标准。</w:t>
      </w:r>
    </w:p>
    <w:p w14:paraId="6EC96F52">
      <w:pPr>
        <w:pStyle w:val="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（3）地表水：</w:t>
      </w:r>
      <w:r>
        <w:rPr>
          <w:rFonts w:hint="eastAsia" w:ascii="仿宋" w:hAnsi="仿宋" w:eastAsia="仿宋" w:cs="仿宋"/>
          <w:b w:val="0"/>
          <w:bCs w:val="0"/>
          <w:color w:val="auto"/>
          <w:kern w:val="2"/>
          <w:sz w:val="24"/>
          <w:szCs w:val="24"/>
          <w:highlight w:val="none"/>
          <w:lang w:val="en-US" w:eastAsia="zh-CN" w:bidi="ar-SA"/>
        </w:rPr>
        <w:t>地表水</w:t>
      </w:r>
      <w:r>
        <w:rPr>
          <w:rFonts w:hint="eastAsia" w:ascii="仿宋" w:hAnsi="仿宋" w:eastAsia="仿宋" w:cs="仿宋"/>
          <w:color w:val="auto"/>
          <w:kern w:val="2"/>
          <w:sz w:val="24"/>
          <w:szCs w:val="20"/>
          <w:lang w:val="en-US" w:eastAsia="zh-CN" w:bidi="ar-SA"/>
        </w:rPr>
        <w:t>除挥发酚、总氮、总磷外，其余检测因子检出数值均不超过《地表水质量标准》（GB3838-2002）Ⅲ类标准值。</w:t>
      </w:r>
    </w:p>
    <w:p w14:paraId="6C958451">
      <w:pPr>
        <w:pStyle w:val="11"/>
        <w:keepNext w:val="0"/>
        <w:keepLines w:val="0"/>
        <w:pageBreakBefore w:val="0"/>
        <w:widowControl w:val="0"/>
        <w:kinsoku/>
        <w:wordWrap/>
        <w:overflowPunct/>
        <w:topLinePunct w:val="0"/>
        <w:autoSpaceDE/>
        <w:autoSpaceDN/>
        <w:bidi w:val="0"/>
        <w:adjustRightInd/>
        <w:snapToGrid/>
        <w:spacing w:after="0" w:afterLines="0"/>
        <w:ind w:firstLine="482" w:firstLineChars="200"/>
        <w:jc w:val="left"/>
        <w:textAlignment w:val="auto"/>
        <w:outlineLvl w:val="9"/>
        <w:rPr>
          <w:rFonts w:hint="eastAsia" w:ascii="仿宋" w:hAnsi="仿宋" w:eastAsia="仿宋" w:cs="仿宋"/>
          <w:b/>
          <w:bCs/>
          <w:color w:val="auto"/>
          <w:lang w:val="en-US" w:eastAsia="zh-CN"/>
        </w:rPr>
      </w:pPr>
      <w:bookmarkStart w:id="16" w:name="_Toc3705"/>
      <w:bookmarkStart w:id="17" w:name="_Toc31493"/>
      <w:r>
        <w:rPr>
          <w:rFonts w:hint="eastAsia" w:ascii="仿宋" w:hAnsi="仿宋" w:eastAsia="仿宋" w:cs="仿宋"/>
          <w:b/>
          <w:bCs/>
          <w:color w:val="auto"/>
          <w:lang w:val="en-US" w:eastAsia="zh-CN"/>
        </w:rPr>
        <w:t>四、结论</w:t>
      </w:r>
      <w:bookmarkEnd w:id="16"/>
      <w:bookmarkEnd w:id="17"/>
    </w:p>
    <w:p w14:paraId="641E2F1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bCs/>
          <w:color w:val="auto"/>
          <w:sz w:val="44"/>
          <w:szCs w:val="44"/>
          <w:lang w:val="en-US" w:eastAsia="zh-CN"/>
        </w:rPr>
      </w:pPr>
      <w:r>
        <w:rPr>
          <w:rFonts w:hint="eastAsia" w:ascii="仿宋" w:hAnsi="仿宋" w:eastAsia="仿宋" w:cs="仿宋"/>
          <w:color w:val="auto"/>
          <w:kern w:val="2"/>
          <w:sz w:val="24"/>
          <w:szCs w:val="20"/>
          <w:lang w:val="en-US" w:eastAsia="zh-CN" w:bidi="ar-SA"/>
        </w:rPr>
        <w:t>综上所述，原南通岸西化工有限公司地块土壤中污染物浓度</w:t>
      </w:r>
      <w:r>
        <w:rPr>
          <w:rFonts w:ascii="仿宋" w:hAnsi="仿宋" w:eastAsia="仿宋" w:cs="仿宋"/>
          <w:color w:val="auto"/>
          <w:kern w:val="0"/>
          <w:sz w:val="24"/>
          <w:szCs w:val="24"/>
          <w:lang w:val="en-US" w:eastAsia="zh-CN" w:bidi="ar"/>
        </w:rPr>
        <w:t>不满足GB50137规定</w:t>
      </w:r>
      <w:r>
        <w:rPr>
          <w:rFonts w:hint="eastAsia" w:ascii="仿宋" w:hAnsi="仿宋" w:eastAsia="仿宋" w:cs="仿宋"/>
          <w:color w:val="auto"/>
          <w:kern w:val="0"/>
          <w:sz w:val="24"/>
          <w:szCs w:val="24"/>
          <w:lang w:val="en-US" w:eastAsia="zh-CN" w:bidi="ar"/>
        </w:rPr>
        <w:t>的第二类用地土壤环境质量标准要求</w:t>
      </w:r>
      <w:r>
        <w:rPr>
          <w:rFonts w:hint="eastAsia" w:ascii="仿宋" w:hAnsi="仿宋" w:eastAsia="仿宋" w:cs="仿宋"/>
          <w:color w:val="auto"/>
          <w:kern w:val="2"/>
          <w:sz w:val="24"/>
          <w:szCs w:val="20"/>
          <w:lang w:val="en-US" w:eastAsia="zh-CN" w:bidi="ar-SA"/>
        </w:rPr>
        <w:t>，属于污染地块，建议土地使用权人结合国家和江苏省相关法律法规要求进行详细采样分析工作计划工作。</w:t>
      </w:r>
    </w:p>
    <w:p w14:paraId="30EB8C07">
      <w:pPr>
        <w:pStyle w:val="10"/>
        <w:rPr>
          <w:rFonts w:hint="eastAsia" w:ascii="仿宋" w:hAnsi="仿宋" w:eastAsia="仿宋" w:cs="仿宋"/>
          <w:color w:val="auto"/>
          <w:lang w:val="en-US" w:eastAsia="zh-CN"/>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p>
    <w:p w14:paraId="4418B8F4">
      <w:pPr>
        <w:pStyle w:val="2"/>
        <w:keepNext w:val="0"/>
        <w:keepLines w:val="0"/>
        <w:pageBreakBefore w:val="0"/>
        <w:widowControl w:val="0"/>
        <w:kinsoku/>
        <w:wordWrap/>
        <w:overflowPunct/>
        <w:topLinePunct w:val="0"/>
        <w:autoSpaceDE/>
        <w:autoSpaceDN/>
        <w:bidi w:val="0"/>
        <w:adjustRightInd/>
        <w:snapToGrid/>
        <w:spacing w:after="0" w:afterLines="0" w:line="360" w:lineRule="auto"/>
        <w:ind w:leftChars="0" w:firstLine="0" w:firstLineChars="0"/>
        <w:jc w:val="center"/>
        <w:textAlignment w:val="auto"/>
        <w:rPr>
          <w:rFonts w:hint="eastAsia" w:ascii="仿宋" w:hAnsi="仿宋" w:eastAsia="仿宋" w:cs="仿宋"/>
          <w:b/>
          <w:bCs/>
          <w:color w:val="auto"/>
          <w:sz w:val="36"/>
          <w:szCs w:val="36"/>
          <w:lang w:val="en-US" w:eastAsia="zh-CN"/>
        </w:rPr>
      </w:pPr>
      <w:r>
        <w:rPr>
          <w:rFonts w:hint="eastAsia" w:ascii="仿宋" w:hAnsi="仿宋" w:eastAsia="仿宋" w:cs="仿宋"/>
          <w:b/>
          <w:bCs/>
          <w:color w:val="auto"/>
          <w:sz w:val="36"/>
          <w:szCs w:val="36"/>
          <w:lang w:val="en-US" w:eastAsia="zh-CN"/>
        </w:rPr>
        <w:t>目录</w:t>
      </w:r>
    </w:p>
    <w:p w14:paraId="04DB1825">
      <w:pPr>
        <w:pStyle w:val="7"/>
        <w:keepNext w:val="0"/>
        <w:keepLines w:val="0"/>
        <w:pageBreakBefore w:val="0"/>
        <w:widowControl w:val="0"/>
        <w:tabs>
          <w:tab w:val="right" w:leader="dot" w:pos="8306"/>
        </w:tabs>
        <w:kinsoku/>
        <w:wordWrap/>
        <w:overflowPunct/>
        <w:topLinePunct w:val="0"/>
        <w:autoSpaceDE/>
        <w:autoSpaceDN/>
        <w:bidi w:val="0"/>
        <w:adjustRightInd w:val="0"/>
        <w:snapToGrid/>
        <w:spacing w:line="240" w:lineRule="auto"/>
        <w:ind w:firstLine="0" w:firstLineChars="0"/>
        <w:textAlignment w:val="auto"/>
        <w:rPr>
          <w:color w:val="auto"/>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TOC \o "1-2" \h \u </w:instrText>
      </w:r>
      <w:r>
        <w:rPr>
          <w:rFonts w:hint="eastAsia" w:ascii="仿宋" w:hAnsi="仿宋" w:eastAsia="仿宋" w:cs="仿宋"/>
          <w:color w:val="auto"/>
          <w:sz w:val="24"/>
          <w:szCs w:val="24"/>
        </w:rPr>
        <w:fldChar w:fldCharType="separate"/>
      </w: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_Toc4889 </w:instrText>
      </w:r>
      <w:r>
        <w:rPr>
          <w:rFonts w:hint="eastAsia" w:ascii="仿宋" w:hAnsi="仿宋" w:eastAsia="仿宋" w:cs="仿宋"/>
          <w:color w:val="auto"/>
          <w:szCs w:val="24"/>
        </w:rPr>
        <w:fldChar w:fldCharType="separate"/>
      </w:r>
      <w:r>
        <w:rPr>
          <w:rFonts w:hint="eastAsia" w:ascii="仿宋" w:hAnsi="仿宋" w:eastAsia="仿宋" w:cs="仿宋"/>
          <w:bCs/>
          <w:color w:val="auto"/>
          <w:szCs w:val="36"/>
          <w:lang w:val="en-US" w:eastAsia="zh-CN"/>
        </w:rPr>
        <w:t>摘 要</w:t>
      </w:r>
      <w:r>
        <w:rPr>
          <w:color w:val="auto"/>
        </w:rPr>
        <w:tab/>
      </w:r>
      <w:r>
        <w:rPr>
          <w:color w:val="auto"/>
        </w:rPr>
        <w:fldChar w:fldCharType="begin"/>
      </w:r>
      <w:r>
        <w:rPr>
          <w:color w:val="auto"/>
        </w:rPr>
        <w:instrText xml:space="preserve"> PAGEREF _Toc4889 \h </w:instrText>
      </w:r>
      <w:r>
        <w:rPr>
          <w:color w:val="auto"/>
        </w:rPr>
        <w:fldChar w:fldCharType="separate"/>
      </w:r>
      <w:r>
        <w:rPr>
          <w:color w:val="auto"/>
        </w:rPr>
        <w:t>I</w:t>
      </w:r>
      <w:r>
        <w:rPr>
          <w:color w:val="auto"/>
        </w:rPr>
        <w:fldChar w:fldCharType="end"/>
      </w:r>
      <w:r>
        <w:rPr>
          <w:rFonts w:hint="eastAsia" w:ascii="仿宋" w:hAnsi="仿宋" w:eastAsia="仿宋" w:cs="仿宋"/>
          <w:color w:val="auto"/>
          <w:szCs w:val="24"/>
        </w:rPr>
        <w:fldChar w:fldCharType="end"/>
      </w:r>
    </w:p>
    <w:p w14:paraId="0D62D49D">
      <w:pPr>
        <w:pStyle w:val="7"/>
        <w:keepNext w:val="0"/>
        <w:keepLines w:val="0"/>
        <w:pageBreakBefore w:val="0"/>
        <w:widowControl w:val="0"/>
        <w:tabs>
          <w:tab w:val="right" w:leader="dot" w:pos="8306"/>
        </w:tabs>
        <w:kinsoku/>
        <w:wordWrap/>
        <w:overflowPunct/>
        <w:topLinePunct w:val="0"/>
        <w:autoSpaceDE/>
        <w:autoSpaceDN/>
        <w:bidi w:val="0"/>
        <w:adjustRightInd w:val="0"/>
        <w:snapToGrid/>
        <w:spacing w:line="240" w:lineRule="auto"/>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_Toc29571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36"/>
          <w:lang w:val="en-US" w:eastAsia="zh-CN"/>
        </w:rPr>
        <w:t>1  前言</w:t>
      </w:r>
      <w:r>
        <w:rPr>
          <w:color w:val="auto"/>
        </w:rPr>
        <w:tab/>
      </w:r>
      <w:r>
        <w:rPr>
          <w:color w:val="auto"/>
        </w:rPr>
        <w:fldChar w:fldCharType="begin"/>
      </w:r>
      <w:r>
        <w:rPr>
          <w:color w:val="auto"/>
        </w:rPr>
        <w:instrText xml:space="preserve"> PAGEREF _Toc29571 \h </w:instrText>
      </w:r>
      <w:r>
        <w:rPr>
          <w:color w:val="auto"/>
        </w:rPr>
        <w:fldChar w:fldCharType="separate"/>
      </w:r>
      <w:r>
        <w:rPr>
          <w:color w:val="auto"/>
        </w:rPr>
        <w:t>1</w:t>
      </w:r>
      <w:r>
        <w:rPr>
          <w:color w:val="auto"/>
        </w:rPr>
        <w:fldChar w:fldCharType="end"/>
      </w:r>
      <w:r>
        <w:rPr>
          <w:rFonts w:hint="eastAsia" w:ascii="仿宋" w:hAnsi="仿宋" w:eastAsia="仿宋" w:cs="仿宋"/>
          <w:color w:val="auto"/>
          <w:szCs w:val="24"/>
        </w:rPr>
        <w:fldChar w:fldCharType="end"/>
      </w:r>
    </w:p>
    <w:p w14:paraId="446844F5">
      <w:pPr>
        <w:pStyle w:val="7"/>
        <w:keepNext w:val="0"/>
        <w:keepLines w:val="0"/>
        <w:pageBreakBefore w:val="0"/>
        <w:widowControl w:val="0"/>
        <w:tabs>
          <w:tab w:val="right" w:leader="dot" w:pos="8306"/>
        </w:tabs>
        <w:kinsoku/>
        <w:wordWrap/>
        <w:overflowPunct/>
        <w:topLinePunct w:val="0"/>
        <w:autoSpaceDE/>
        <w:autoSpaceDN/>
        <w:bidi w:val="0"/>
        <w:adjustRightInd w:val="0"/>
        <w:snapToGrid/>
        <w:spacing w:line="240" w:lineRule="auto"/>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_Toc5395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36"/>
          <w:lang w:val="en-US" w:eastAsia="zh-CN"/>
        </w:rPr>
        <w:t>2  概述</w:t>
      </w:r>
      <w:r>
        <w:rPr>
          <w:color w:val="auto"/>
        </w:rPr>
        <w:tab/>
      </w:r>
      <w:r>
        <w:rPr>
          <w:color w:val="auto"/>
        </w:rPr>
        <w:fldChar w:fldCharType="begin"/>
      </w:r>
      <w:r>
        <w:rPr>
          <w:color w:val="auto"/>
        </w:rPr>
        <w:instrText xml:space="preserve"> PAGEREF _Toc5395 \h </w:instrText>
      </w:r>
      <w:r>
        <w:rPr>
          <w:color w:val="auto"/>
        </w:rPr>
        <w:fldChar w:fldCharType="separate"/>
      </w:r>
      <w:r>
        <w:rPr>
          <w:color w:val="auto"/>
        </w:rPr>
        <w:t>3</w:t>
      </w:r>
      <w:r>
        <w:rPr>
          <w:color w:val="auto"/>
        </w:rPr>
        <w:fldChar w:fldCharType="end"/>
      </w:r>
      <w:r>
        <w:rPr>
          <w:rFonts w:hint="eastAsia" w:ascii="仿宋" w:hAnsi="仿宋" w:eastAsia="仿宋" w:cs="仿宋"/>
          <w:color w:val="auto"/>
          <w:szCs w:val="24"/>
        </w:rPr>
        <w:fldChar w:fldCharType="end"/>
      </w:r>
    </w:p>
    <w:p w14:paraId="4F4BB8B5">
      <w:pPr>
        <w:pStyle w:val="8"/>
        <w:keepNext w:val="0"/>
        <w:keepLines w:val="0"/>
        <w:pageBreakBefore w:val="0"/>
        <w:widowControl w:val="0"/>
        <w:tabs>
          <w:tab w:val="right" w:leader="dot" w:pos="8306"/>
        </w:tabs>
        <w:kinsoku/>
        <w:wordWrap/>
        <w:overflowPunct/>
        <w:topLinePunct w:val="0"/>
        <w:autoSpaceDE/>
        <w:autoSpaceDN/>
        <w:bidi w:val="0"/>
        <w:adjustRightInd w:val="0"/>
        <w:snapToGrid/>
        <w:spacing w:line="240" w:lineRule="auto"/>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_Toc30249 </w:instrText>
      </w:r>
      <w:r>
        <w:rPr>
          <w:rFonts w:hint="eastAsia" w:ascii="仿宋" w:hAnsi="仿宋" w:eastAsia="仿宋" w:cs="仿宋"/>
          <w:color w:val="auto"/>
          <w:szCs w:val="24"/>
        </w:rPr>
        <w:fldChar w:fldCharType="separate"/>
      </w:r>
      <w:r>
        <w:rPr>
          <w:rFonts w:hint="eastAsia" w:ascii="仿宋" w:hAnsi="仿宋" w:eastAsia="仿宋" w:cs="仿宋"/>
          <w:bCs/>
          <w:color w:val="auto"/>
          <w:szCs w:val="21"/>
          <w:lang w:val="en-US" w:eastAsia="zh-CN"/>
        </w:rPr>
        <w:t>2.1  调查目的和原则</w:t>
      </w:r>
      <w:r>
        <w:rPr>
          <w:color w:val="auto"/>
        </w:rPr>
        <w:tab/>
      </w:r>
      <w:r>
        <w:rPr>
          <w:color w:val="auto"/>
        </w:rPr>
        <w:fldChar w:fldCharType="begin"/>
      </w:r>
      <w:r>
        <w:rPr>
          <w:color w:val="auto"/>
        </w:rPr>
        <w:instrText xml:space="preserve"> PAGEREF _Toc30249 \h </w:instrText>
      </w:r>
      <w:r>
        <w:rPr>
          <w:color w:val="auto"/>
        </w:rPr>
        <w:fldChar w:fldCharType="separate"/>
      </w:r>
      <w:r>
        <w:rPr>
          <w:color w:val="auto"/>
        </w:rPr>
        <w:t>3</w:t>
      </w:r>
      <w:r>
        <w:rPr>
          <w:color w:val="auto"/>
        </w:rPr>
        <w:fldChar w:fldCharType="end"/>
      </w:r>
      <w:r>
        <w:rPr>
          <w:rFonts w:hint="eastAsia" w:ascii="仿宋" w:hAnsi="仿宋" w:eastAsia="仿宋" w:cs="仿宋"/>
          <w:color w:val="auto"/>
          <w:szCs w:val="24"/>
        </w:rPr>
        <w:fldChar w:fldCharType="end"/>
      </w:r>
    </w:p>
    <w:p w14:paraId="2D7B73C3">
      <w:pPr>
        <w:pStyle w:val="8"/>
        <w:keepNext w:val="0"/>
        <w:keepLines w:val="0"/>
        <w:pageBreakBefore w:val="0"/>
        <w:widowControl w:val="0"/>
        <w:tabs>
          <w:tab w:val="right" w:leader="dot" w:pos="8306"/>
        </w:tabs>
        <w:kinsoku/>
        <w:wordWrap/>
        <w:overflowPunct/>
        <w:topLinePunct w:val="0"/>
        <w:autoSpaceDE/>
        <w:autoSpaceDN/>
        <w:bidi w:val="0"/>
        <w:adjustRightInd w:val="0"/>
        <w:snapToGrid/>
        <w:spacing w:line="240" w:lineRule="auto"/>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_Toc5891 </w:instrText>
      </w:r>
      <w:r>
        <w:rPr>
          <w:rFonts w:hint="eastAsia" w:ascii="仿宋" w:hAnsi="仿宋" w:eastAsia="仿宋" w:cs="仿宋"/>
          <w:color w:val="auto"/>
          <w:szCs w:val="24"/>
        </w:rPr>
        <w:fldChar w:fldCharType="separate"/>
      </w:r>
      <w:r>
        <w:rPr>
          <w:rFonts w:hint="eastAsia" w:ascii="仿宋" w:hAnsi="仿宋" w:eastAsia="仿宋" w:cs="仿宋"/>
          <w:bCs/>
          <w:color w:val="auto"/>
          <w:szCs w:val="21"/>
          <w:lang w:val="en-US" w:eastAsia="zh-CN"/>
        </w:rPr>
        <w:t>2.2  调查范围</w:t>
      </w:r>
      <w:r>
        <w:rPr>
          <w:color w:val="auto"/>
        </w:rPr>
        <w:tab/>
      </w:r>
      <w:r>
        <w:rPr>
          <w:color w:val="auto"/>
        </w:rPr>
        <w:fldChar w:fldCharType="begin"/>
      </w:r>
      <w:r>
        <w:rPr>
          <w:color w:val="auto"/>
        </w:rPr>
        <w:instrText xml:space="preserve"> PAGEREF _Toc5891 \h </w:instrText>
      </w:r>
      <w:r>
        <w:rPr>
          <w:color w:val="auto"/>
        </w:rPr>
        <w:fldChar w:fldCharType="separate"/>
      </w:r>
      <w:r>
        <w:rPr>
          <w:color w:val="auto"/>
        </w:rPr>
        <w:t>3</w:t>
      </w:r>
      <w:r>
        <w:rPr>
          <w:color w:val="auto"/>
        </w:rPr>
        <w:fldChar w:fldCharType="end"/>
      </w:r>
      <w:r>
        <w:rPr>
          <w:rFonts w:hint="eastAsia" w:ascii="仿宋" w:hAnsi="仿宋" w:eastAsia="仿宋" w:cs="仿宋"/>
          <w:color w:val="auto"/>
          <w:szCs w:val="24"/>
        </w:rPr>
        <w:fldChar w:fldCharType="end"/>
      </w:r>
    </w:p>
    <w:p w14:paraId="3EEAAD0E">
      <w:pPr>
        <w:pStyle w:val="8"/>
        <w:keepNext w:val="0"/>
        <w:keepLines w:val="0"/>
        <w:pageBreakBefore w:val="0"/>
        <w:widowControl w:val="0"/>
        <w:tabs>
          <w:tab w:val="right" w:leader="dot" w:pos="8306"/>
        </w:tabs>
        <w:kinsoku/>
        <w:wordWrap/>
        <w:overflowPunct/>
        <w:topLinePunct w:val="0"/>
        <w:autoSpaceDE/>
        <w:autoSpaceDN/>
        <w:bidi w:val="0"/>
        <w:adjustRightInd w:val="0"/>
        <w:snapToGrid/>
        <w:spacing w:line="240" w:lineRule="auto"/>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_Toc26577 </w:instrText>
      </w:r>
      <w:r>
        <w:rPr>
          <w:rFonts w:hint="eastAsia" w:ascii="仿宋" w:hAnsi="仿宋" w:eastAsia="仿宋" w:cs="仿宋"/>
          <w:color w:val="auto"/>
          <w:szCs w:val="24"/>
        </w:rPr>
        <w:fldChar w:fldCharType="separate"/>
      </w:r>
      <w:r>
        <w:rPr>
          <w:rFonts w:hint="eastAsia" w:ascii="仿宋" w:hAnsi="仿宋" w:eastAsia="仿宋" w:cs="仿宋"/>
          <w:bCs/>
          <w:color w:val="auto"/>
          <w:szCs w:val="21"/>
          <w:lang w:val="en-US" w:eastAsia="zh-CN"/>
        </w:rPr>
        <w:t>2.3  调查依据</w:t>
      </w:r>
      <w:r>
        <w:rPr>
          <w:color w:val="auto"/>
        </w:rPr>
        <w:tab/>
      </w:r>
      <w:r>
        <w:rPr>
          <w:color w:val="auto"/>
        </w:rPr>
        <w:fldChar w:fldCharType="begin"/>
      </w:r>
      <w:r>
        <w:rPr>
          <w:color w:val="auto"/>
        </w:rPr>
        <w:instrText xml:space="preserve"> PAGEREF _Toc26577 \h </w:instrText>
      </w:r>
      <w:r>
        <w:rPr>
          <w:color w:val="auto"/>
        </w:rPr>
        <w:fldChar w:fldCharType="separate"/>
      </w:r>
      <w:r>
        <w:rPr>
          <w:color w:val="auto"/>
        </w:rPr>
        <w:t>6</w:t>
      </w:r>
      <w:r>
        <w:rPr>
          <w:color w:val="auto"/>
        </w:rPr>
        <w:fldChar w:fldCharType="end"/>
      </w:r>
      <w:r>
        <w:rPr>
          <w:rFonts w:hint="eastAsia" w:ascii="仿宋" w:hAnsi="仿宋" w:eastAsia="仿宋" w:cs="仿宋"/>
          <w:color w:val="auto"/>
          <w:szCs w:val="24"/>
        </w:rPr>
        <w:fldChar w:fldCharType="end"/>
      </w:r>
    </w:p>
    <w:p w14:paraId="610BE176">
      <w:pPr>
        <w:pStyle w:val="8"/>
        <w:keepNext w:val="0"/>
        <w:keepLines w:val="0"/>
        <w:pageBreakBefore w:val="0"/>
        <w:widowControl w:val="0"/>
        <w:tabs>
          <w:tab w:val="right" w:leader="dot" w:pos="8306"/>
        </w:tabs>
        <w:kinsoku/>
        <w:wordWrap/>
        <w:overflowPunct/>
        <w:topLinePunct w:val="0"/>
        <w:autoSpaceDE/>
        <w:autoSpaceDN/>
        <w:bidi w:val="0"/>
        <w:adjustRightInd w:val="0"/>
        <w:snapToGrid/>
        <w:spacing w:line="240" w:lineRule="auto"/>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_Toc7236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2.4  调查方法</w:t>
      </w:r>
      <w:r>
        <w:rPr>
          <w:color w:val="auto"/>
        </w:rPr>
        <w:tab/>
      </w:r>
      <w:r>
        <w:rPr>
          <w:color w:val="auto"/>
        </w:rPr>
        <w:fldChar w:fldCharType="begin"/>
      </w:r>
      <w:r>
        <w:rPr>
          <w:color w:val="auto"/>
        </w:rPr>
        <w:instrText xml:space="preserve"> PAGEREF _Toc7236 \h </w:instrText>
      </w:r>
      <w:r>
        <w:rPr>
          <w:color w:val="auto"/>
        </w:rPr>
        <w:fldChar w:fldCharType="separate"/>
      </w:r>
      <w:r>
        <w:rPr>
          <w:color w:val="auto"/>
        </w:rPr>
        <w:t>9</w:t>
      </w:r>
      <w:r>
        <w:rPr>
          <w:color w:val="auto"/>
        </w:rPr>
        <w:fldChar w:fldCharType="end"/>
      </w:r>
      <w:r>
        <w:rPr>
          <w:rFonts w:hint="eastAsia" w:ascii="仿宋" w:hAnsi="仿宋" w:eastAsia="仿宋" w:cs="仿宋"/>
          <w:color w:val="auto"/>
          <w:szCs w:val="24"/>
        </w:rPr>
        <w:fldChar w:fldCharType="end"/>
      </w:r>
    </w:p>
    <w:p w14:paraId="7FECEBBF">
      <w:pPr>
        <w:pStyle w:val="7"/>
        <w:keepNext w:val="0"/>
        <w:keepLines w:val="0"/>
        <w:pageBreakBefore w:val="0"/>
        <w:widowControl w:val="0"/>
        <w:tabs>
          <w:tab w:val="right" w:leader="dot" w:pos="8306"/>
        </w:tabs>
        <w:kinsoku/>
        <w:wordWrap/>
        <w:overflowPunct/>
        <w:topLinePunct w:val="0"/>
        <w:autoSpaceDE/>
        <w:autoSpaceDN/>
        <w:bidi w:val="0"/>
        <w:adjustRightInd w:val="0"/>
        <w:snapToGrid/>
        <w:spacing w:line="240" w:lineRule="auto"/>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_Toc1922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36"/>
          <w:lang w:val="en-US" w:eastAsia="zh-CN"/>
        </w:rPr>
        <w:t>3  地块概况</w:t>
      </w:r>
      <w:r>
        <w:rPr>
          <w:color w:val="auto"/>
        </w:rPr>
        <w:tab/>
      </w:r>
      <w:r>
        <w:rPr>
          <w:color w:val="auto"/>
        </w:rPr>
        <w:fldChar w:fldCharType="begin"/>
      </w:r>
      <w:r>
        <w:rPr>
          <w:color w:val="auto"/>
        </w:rPr>
        <w:instrText xml:space="preserve"> PAGEREF _Toc1922 \h </w:instrText>
      </w:r>
      <w:r>
        <w:rPr>
          <w:color w:val="auto"/>
        </w:rPr>
        <w:fldChar w:fldCharType="separate"/>
      </w:r>
      <w:r>
        <w:rPr>
          <w:color w:val="auto"/>
        </w:rPr>
        <w:t>12</w:t>
      </w:r>
      <w:r>
        <w:rPr>
          <w:color w:val="auto"/>
        </w:rPr>
        <w:fldChar w:fldCharType="end"/>
      </w:r>
      <w:r>
        <w:rPr>
          <w:rFonts w:hint="eastAsia" w:ascii="仿宋" w:hAnsi="仿宋" w:eastAsia="仿宋" w:cs="仿宋"/>
          <w:color w:val="auto"/>
          <w:szCs w:val="24"/>
        </w:rPr>
        <w:fldChar w:fldCharType="end"/>
      </w:r>
    </w:p>
    <w:p w14:paraId="71387C30">
      <w:pPr>
        <w:pStyle w:val="8"/>
        <w:keepNext w:val="0"/>
        <w:keepLines w:val="0"/>
        <w:pageBreakBefore w:val="0"/>
        <w:widowControl w:val="0"/>
        <w:tabs>
          <w:tab w:val="right" w:leader="dot" w:pos="8306"/>
        </w:tabs>
        <w:kinsoku/>
        <w:wordWrap/>
        <w:overflowPunct/>
        <w:topLinePunct w:val="0"/>
        <w:autoSpaceDE/>
        <w:autoSpaceDN/>
        <w:bidi w:val="0"/>
        <w:adjustRightInd w:val="0"/>
        <w:snapToGrid/>
        <w:spacing w:line="240" w:lineRule="auto"/>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_Toc29810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3.1 区域环境状况</w:t>
      </w:r>
      <w:r>
        <w:rPr>
          <w:color w:val="auto"/>
        </w:rPr>
        <w:tab/>
      </w:r>
      <w:r>
        <w:rPr>
          <w:color w:val="auto"/>
        </w:rPr>
        <w:fldChar w:fldCharType="begin"/>
      </w:r>
      <w:r>
        <w:rPr>
          <w:color w:val="auto"/>
        </w:rPr>
        <w:instrText xml:space="preserve"> PAGEREF _Toc29810 \h </w:instrText>
      </w:r>
      <w:r>
        <w:rPr>
          <w:color w:val="auto"/>
        </w:rPr>
        <w:fldChar w:fldCharType="separate"/>
      </w:r>
      <w:r>
        <w:rPr>
          <w:color w:val="auto"/>
        </w:rPr>
        <w:t>12</w:t>
      </w:r>
      <w:r>
        <w:rPr>
          <w:color w:val="auto"/>
        </w:rPr>
        <w:fldChar w:fldCharType="end"/>
      </w:r>
      <w:r>
        <w:rPr>
          <w:rFonts w:hint="eastAsia" w:ascii="仿宋" w:hAnsi="仿宋" w:eastAsia="仿宋" w:cs="仿宋"/>
          <w:color w:val="auto"/>
          <w:szCs w:val="24"/>
        </w:rPr>
        <w:fldChar w:fldCharType="end"/>
      </w:r>
    </w:p>
    <w:p w14:paraId="5C9B5479">
      <w:pPr>
        <w:pStyle w:val="8"/>
        <w:keepNext w:val="0"/>
        <w:keepLines w:val="0"/>
        <w:pageBreakBefore w:val="0"/>
        <w:widowControl w:val="0"/>
        <w:tabs>
          <w:tab w:val="right" w:leader="dot" w:pos="8306"/>
        </w:tabs>
        <w:kinsoku/>
        <w:wordWrap/>
        <w:overflowPunct/>
        <w:topLinePunct w:val="0"/>
        <w:autoSpaceDE/>
        <w:autoSpaceDN/>
        <w:bidi w:val="0"/>
        <w:adjustRightInd w:val="0"/>
        <w:snapToGrid/>
        <w:spacing w:line="240" w:lineRule="auto"/>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_Toc2132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3.2 敏感目标</w:t>
      </w:r>
      <w:r>
        <w:rPr>
          <w:color w:val="auto"/>
        </w:rPr>
        <w:tab/>
      </w:r>
      <w:r>
        <w:rPr>
          <w:color w:val="auto"/>
        </w:rPr>
        <w:fldChar w:fldCharType="begin"/>
      </w:r>
      <w:r>
        <w:rPr>
          <w:color w:val="auto"/>
        </w:rPr>
        <w:instrText xml:space="preserve"> PAGEREF _Toc2132 \h </w:instrText>
      </w:r>
      <w:r>
        <w:rPr>
          <w:color w:val="auto"/>
        </w:rPr>
        <w:fldChar w:fldCharType="separate"/>
      </w:r>
      <w:r>
        <w:rPr>
          <w:color w:val="auto"/>
        </w:rPr>
        <w:t>23</w:t>
      </w:r>
      <w:r>
        <w:rPr>
          <w:color w:val="auto"/>
        </w:rPr>
        <w:fldChar w:fldCharType="end"/>
      </w:r>
      <w:r>
        <w:rPr>
          <w:rFonts w:hint="eastAsia" w:ascii="仿宋" w:hAnsi="仿宋" w:eastAsia="仿宋" w:cs="仿宋"/>
          <w:color w:val="auto"/>
          <w:szCs w:val="24"/>
        </w:rPr>
        <w:fldChar w:fldCharType="end"/>
      </w:r>
    </w:p>
    <w:p w14:paraId="36A02D92">
      <w:pPr>
        <w:pStyle w:val="8"/>
        <w:keepNext w:val="0"/>
        <w:keepLines w:val="0"/>
        <w:pageBreakBefore w:val="0"/>
        <w:widowControl w:val="0"/>
        <w:tabs>
          <w:tab w:val="right" w:leader="dot" w:pos="8306"/>
        </w:tabs>
        <w:kinsoku/>
        <w:wordWrap/>
        <w:overflowPunct/>
        <w:topLinePunct w:val="0"/>
        <w:autoSpaceDE/>
        <w:autoSpaceDN/>
        <w:bidi w:val="0"/>
        <w:adjustRightInd w:val="0"/>
        <w:snapToGrid/>
        <w:spacing w:line="240" w:lineRule="auto"/>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_Toc18568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3.3 地块的使用现状和历史</w:t>
      </w:r>
      <w:r>
        <w:rPr>
          <w:color w:val="auto"/>
        </w:rPr>
        <w:tab/>
      </w:r>
      <w:r>
        <w:rPr>
          <w:color w:val="auto"/>
        </w:rPr>
        <w:fldChar w:fldCharType="begin"/>
      </w:r>
      <w:r>
        <w:rPr>
          <w:color w:val="auto"/>
        </w:rPr>
        <w:instrText xml:space="preserve"> PAGEREF _Toc18568 \h </w:instrText>
      </w:r>
      <w:r>
        <w:rPr>
          <w:color w:val="auto"/>
        </w:rPr>
        <w:fldChar w:fldCharType="separate"/>
      </w:r>
      <w:r>
        <w:rPr>
          <w:color w:val="auto"/>
        </w:rPr>
        <w:t>25</w:t>
      </w:r>
      <w:r>
        <w:rPr>
          <w:color w:val="auto"/>
        </w:rPr>
        <w:fldChar w:fldCharType="end"/>
      </w:r>
      <w:r>
        <w:rPr>
          <w:rFonts w:hint="eastAsia" w:ascii="仿宋" w:hAnsi="仿宋" w:eastAsia="仿宋" w:cs="仿宋"/>
          <w:color w:val="auto"/>
          <w:szCs w:val="24"/>
        </w:rPr>
        <w:fldChar w:fldCharType="end"/>
      </w:r>
    </w:p>
    <w:p w14:paraId="3D75485B">
      <w:pPr>
        <w:pStyle w:val="8"/>
        <w:keepNext w:val="0"/>
        <w:keepLines w:val="0"/>
        <w:pageBreakBefore w:val="0"/>
        <w:widowControl w:val="0"/>
        <w:tabs>
          <w:tab w:val="right" w:leader="dot" w:pos="8306"/>
        </w:tabs>
        <w:kinsoku/>
        <w:wordWrap/>
        <w:overflowPunct/>
        <w:topLinePunct w:val="0"/>
        <w:autoSpaceDE/>
        <w:autoSpaceDN/>
        <w:bidi w:val="0"/>
        <w:adjustRightInd w:val="0"/>
        <w:snapToGrid/>
        <w:spacing w:line="240" w:lineRule="auto"/>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_Toc27133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3.4 相邻地块的使用现状和历史</w:t>
      </w:r>
      <w:r>
        <w:rPr>
          <w:color w:val="auto"/>
        </w:rPr>
        <w:tab/>
      </w:r>
      <w:r>
        <w:rPr>
          <w:color w:val="auto"/>
        </w:rPr>
        <w:fldChar w:fldCharType="begin"/>
      </w:r>
      <w:r>
        <w:rPr>
          <w:color w:val="auto"/>
        </w:rPr>
        <w:instrText xml:space="preserve"> PAGEREF _Toc27133 \h </w:instrText>
      </w:r>
      <w:r>
        <w:rPr>
          <w:color w:val="auto"/>
        </w:rPr>
        <w:fldChar w:fldCharType="separate"/>
      </w:r>
      <w:r>
        <w:rPr>
          <w:color w:val="auto"/>
        </w:rPr>
        <w:t>34</w:t>
      </w:r>
      <w:r>
        <w:rPr>
          <w:color w:val="auto"/>
        </w:rPr>
        <w:fldChar w:fldCharType="end"/>
      </w:r>
      <w:r>
        <w:rPr>
          <w:rFonts w:hint="eastAsia" w:ascii="仿宋" w:hAnsi="仿宋" w:eastAsia="仿宋" w:cs="仿宋"/>
          <w:color w:val="auto"/>
          <w:szCs w:val="24"/>
        </w:rPr>
        <w:fldChar w:fldCharType="end"/>
      </w:r>
    </w:p>
    <w:p w14:paraId="06824567">
      <w:pPr>
        <w:pStyle w:val="8"/>
        <w:keepNext w:val="0"/>
        <w:keepLines w:val="0"/>
        <w:pageBreakBefore w:val="0"/>
        <w:widowControl w:val="0"/>
        <w:tabs>
          <w:tab w:val="right" w:leader="dot" w:pos="8306"/>
        </w:tabs>
        <w:kinsoku/>
        <w:wordWrap/>
        <w:overflowPunct/>
        <w:topLinePunct w:val="0"/>
        <w:autoSpaceDE/>
        <w:autoSpaceDN/>
        <w:bidi w:val="0"/>
        <w:adjustRightInd w:val="0"/>
        <w:snapToGrid/>
        <w:spacing w:line="240" w:lineRule="auto"/>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_Toc26329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3.5 人员访谈</w:t>
      </w:r>
      <w:r>
        <w:rPr>
          <w:color w:val="auto"/>
        </w:rPr>
        <w:tab/>
      </w:r>
      <w:r>
        <w:rPr>
          <w:color w:val="auto"/>
        </w:rPr>
        <w:fldChar w:fldCharType="begin"/>
      </w:r>
      <w:r>
        <w:rPr>
          <w:color w:val="auto"/>
        </w:rPr>
        <w:instrText xml:space="preserve"> PAGEREF _Toc26329 \h </w:instrText>
      </w:r>
      <w:r>
        <w:rPr>
          <w:color w:val="auto"/>
        </w:rPr>
        <w:fldChar w:fldCharType="separate"/>
      </w:r>
      <w:r>
        <w:rPr>
          <w:color w:val="auto"/>
        </w:rPr>
        <w:t>45</w:t>
      </w:r>
      <w:r>
        <w:rPr>
          <w:color w:val="auto"/>
        </w:rPr>
        <w:fldChar w:fldCharType="end"/>
      </w:r>
      <w:r>
        <w:rPr>
          <w:rFonts w:hint="eastAsia" w:ascii="仿宋" w:hAnsi="仿宋" w:eastAsia="仿宋" w:cs="仿宋"/>
          <w:color w:val="auto"/>
          <w:szCs w:val="24"/>
        </w:rPr>
        <w:fldChar w:fldCharType="end"/>
      </w:r>
    </w:p>
    <w:p w14:paraId="196C02D8">
      <w:pPr>
        <w:pStyle w:val="8"/>
        <w:keepNext w:val="0"/>
        <w:keepLines w:val="0"/>
        <w:pageBreakBefore w:val="0"/>
        <w:widowControl w:val="0"/>
        <w:tabs>
          <w:tab w:val="right" w:leader="dot" w:pos="8306"/>
        </w:tabs>
        <w:kinsoku/>
        <w:wordWrap/>
        <w:overflowPunct/>
        <w:topLinePunct w:val="0"/>
        <w:autoSpaceDE/>
        <w:autoSpaceDN/>
        <w:bidi w:val="0"/>
        <w:adjustRightInd w:val="0"/>
        <w:snapToGrid/>
        <w:spacing w:line="240" w:lineRule="auto"/>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_Toc15303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3.6地块规划</w:t>
      </w:r>
      <w:r>
        <w:rPr>
          <w:color w:val="auto"/>
        </w:rPr>
        <w:tab/>
      </w:r>
      <w:r>
        <w:rPr>
          <w:color w:val="auto"/>
        </w:rPr>
        <w:fldChar w:fldCharType="begin"/>
      </w:r>
      <w:r>
        <w:rPr>
          <w:color w:val="auto"/>
        </w:rPr>
        <w:instrText xml:space="preserve"> PAGEREF _Toc15303 \h </w:instrText>
      </w:r>
      <w:r>
        <w:rPr>
          <w:color w:val="auto"/>
        </w:rPr>
        <w:fldChar w:fldCharType="separate"/>
      </w:r>
      <w:r>
        <w:rPr>
          <w:color w:val="auto"/>
        </w:rPr>
        <w:t>49</w:t>
      </w:r>
      <w:r>
        <w:rPr>
          <w:color w:val="auto"/>
        </w:rPr>
        <w:fldChar w:fldCharType="end"/>
      </w:r>
      <w:r>
        <w:rPr>
          <w:rFonts w:hint="eastAsia" w:ascii="仿宋" w:hAnsi="仿宋" w:eastAsia="仿宋" w:cs="仿宋"/>
          <w:color w:val="auto"/>
          <w:szCs w:val="24"/>
        </w:rPr>
        <w:fldChar w:fldCharType="end"/>
      </w:r>
    </w:p>
    <w:p w14:paraId="43C54E41">
      <w:pPr>
        <w:pStyle w:val="7"/>
        <w:keepNext w:val="0"/>
        <w:keepLines w:val="0"/>
        <w:pageBreakBefore w:val="0"/>
        <w:widowControl w:val="0"/>
        <w:tabs>
          <w:tab w:val="right" w:leader="dot" w:pos="8306"/>
        </w:tabs>
        <w:kinsoku/>
        <w:wordWrap/>
        <w:overflowPunct/>
        <w:topLinePunct w:val="0"/>
        <w:autoSpaceDE/>
        <w:autoSpaceDN/>
        <w:bidi w:val="0"/>
        <w:adjustRightInd w:val="0"/>
        <w:snapToGrid/>
        <w:spacing w:line="240" w:lineRule="auto"/>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_Toc17836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36"/>
          <w:lang w:val="en-US" w:eastAsia="zh-CN"/>
        </w:rPr>
        <w:t>4  地块污染识别及分析</w:t>
      </w:r>
      <w:r>
        <w:rPr>
          <w:color w:val="auto"/>
        </w:rPr>
        <w:tab/>
      </w:r>
      <w:r>
        <w:rPr>
          <w:color w:val="auto"/>
        </w:rPr>
        <w:fldChar w:fldCharType="begin"/>
      </w:r>
      <w:r>
        <w:rPr>
          <w:color w:val="auto"/>
        </w:rPr>
        <w:instrText xml:space="preserve"> PAGEREF _Toc17836 \h </w:instrText>
      </w:r>
      <w:r>
        <w:rPr>
          <w:color w:val="auto"/>
        </w:rPr>
        <w:fldChar w:fldCharType="separate"/>
      </w:r>
      <w:r>
        <w:rPr>
          <w:color w:val="auto"/>
        </w:rPr>
        <w:t>53</w:t>
      </w:r>
      <w:r>
        <w:rPr>
          <w:color w:val="auto"/>
        </w:rPr>
        <w:fldChar w:fldCharType="end"/>
      </w:r>
      <w:r>
        <w:rPr>
          <w:rFonts w:hint="eastAsia" w:ascii="仿宋" w:hAnsi="仿宋" w:eastAsia="仿宋" w:cs="仿宋"/>
          <w:color w:val="auto"/>
          <w:szCs w:val="24"/>
        </w:rPr>
        <w:fldChar w:fldCharType="end"/>
      </w:r>
    </w:p>
    <w:p w14:paraId="2CB263AA">
      <w:pPr>
        <w:pStyle w:val="8"/>
        <w:keepNext w:val="0"/>
        <w:keepLines w:val="0"/>
        <w:pageBreakBefore w:val="0"/>
        <w:widowControl w:val="0"/>
        <w:tabs>
          <w:tab w:val="right" w:leader="dot" w:pos="8306"/>
        </w:tabs>
        <w:kinsoku/>
        <w:wordWrap/>
        <w:overflowPunct/>
        <w:topLinePunct w:val="0"/>
        <w:autoSpaceDE/>
        <w:autoSpaceDN/>
        <w:bidi w:val="0"/>
        <w:adjustRightInd w:val="0"/>
        <w:snapToGrid/>
        <w:spacing w:line="240" w:lineRule="auto"/>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_Toc3173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4.1污染识别的目的</w:t>
      </w:r>
      <w:r>
        <w:rPr>
          <w:color w:val="auto"/>
        </w:rPr>
        <w:tab/>
      </w:r>
      <w:r>
        <w:rPr>
          <w:color w:val="auto"/>
        </w:rPr>
        <w:fldChar w:fldCharType="begin"/>
      </w:r>
      <w:r>
        <w:rPr>
          <w:color w:val="auto"/>
        </w:rPr>
        <w:instrText xml:space="preserve"> PAGEREF _Toc3173 \h </w:instrText>
      </w:r>
      <w:r>
        <w:rPr>
          <w:color w:val="auto"/>
        </w:rPr>
        <w:fldChar w:fldCharType="separate"/>
      </w:r>
      <w:r>
        <w:rPr>
          <w:color w:val="auto"/>
        </w:rPr>
        <w:t>53</w:t>
      </w:r>
      <w:r>
        <w:rPr>
          <w:color w:val="auto"/>
        </w:rPr>
        <w:fldChar w:fldCharType="end"/>
      </w:r>
      <w:r>
        <w:rPr>
          <w:rFonts w:hint="eastAsia" w:ascii="仿宋" w:hAnsi="仿宋" w:eastAsia="仿宋" w:cs="仿宋"/>
          <w:color w:val="auto"/>
          <w:szCs w:val="24"/>
        </w:rPr>
        <w:fldChar w:fldCharType="end"/>
      </w:r>
    </w:p>
    <w:p w14:paraId="1DDF8A2F">
      <w:pPr>
        <w:pStyle w:val="8"/>
        <w:keepNext w:val="0"/>
        <w:keepLines w:val="0"/>
        <w:pageBreakBefore w:val="0"/>
        <w:widowControl w:val="0"/>
        <w:tabs>
          <w:tab w:val="right" w:leader="dot" w:pos="8306"/>
        </w:tabs>
        <w:kinsoku/>
        <w:wordWrap/>
        <w:overflowPunct/>
        <w:topLinePunct w:val="0"/>
        <w:autoSpaceDE/>
        <w:autoSpaceDN/>
        <w:bidi w:val="0"/>
        <w:adjustRightInd w:val="0"/>
        <w:snapToGrid/>
        <w:spacing w:line="240" w:lineRule="auto"/>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_Toc20397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4.2资料收集结果</w:t>
      </w:r>
      <w:r>
        <w:rPr>
          <w:color w:val="auto"/>
        </w:rPr>
        <w:tab/>
      </w:r>
      <w:r>
        <w:rPr>
          <w:color w:val="auto"/>
        </w:rPr>
        <w:fldChar w:fldCharType="begin"/>
      </w:r>
      <w:r>
        <w:rPr>
          <w:color w:val="auto"/>
        </w:rPr>
        <w:instrText xml:space="preserve"> PAGEREF _Toc20397 \h </w:instrText>
      </w:r>
      <w:r>
        <w:rPr>
          <w:color w:val="auto"/>
        </w:rPr>
        <w:fldChar w:fldCharType="separate"/>
      </w:r>
      <w:r>
        <w:rPr>
          <w:color w:val="auto"/>
        </w:rPr>
        <w:t>53</w:t>
      </w:r>
      <w:r>
        <w:rPr>
          <w:color w:val="auto"/>
        </w:rPr>
        <w:fldChar w:fldCharType="end"/>
      </w:r>
      <w:r>
        <w:rPr>
          <w:rFonts w:hint="eastAsia" w:ascii="仿宋" w:hAnsi="仿宋" w:eastAsia="仿宋" w:cs="仿宋"/>
          <w:color w:val="auto"/>
          <w:szCs w:val="24"/>
        </w:rPr>
        <w:fldChar w:fldCharType="end"/>
      </w:r>
    </w:p>
    <w:p w14:paraId="6B792B30">
      <w:pPr>
        <w:pStyle w:val="8"/>
        <w:keepNext w:val="0"/>
        <w:keepLines w:val="0"/>
        <w:pageBreakBefore w:val="0"/>
        <w:widowControl w:val="0"/>
        <w:tabs>
          <w:tab w:val="right" w:leader="dot" w:pos="8306"/>
        </w:tabs>
        <w:kinsoku/>
        <w:wordWrap/>
        <w:overflowPunct/>
        <w:topLinePunct w:val="0"/>
        <w:autoSpaceDE/>
        <w:autoSpaceDN/>
        <w:bidi w:val="0"/>
        <w:adjustRightInd w:val="0"/>
        <w:snapToGrid/>
        <w:spacing w:line="240" w:lineRule="auto"/>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_Toc12651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4.3 地块生产活动介绍及污染物识别</w:t>
      </w:r>
      <w:r>
        <w:rPr>
          <w:color w:val="auto"/>
        </w:rPr>
        <w:tab/>
      </w:r>
      <w:r>
        <w:rPr>
          <w:color w:val="auto"/>
        </w:rPr>
        <w:fldChar w:fldCharType="begin"/>
      </w:r>
      <w:r>
        <w:rPr>
          <w:color w:val="auto"/>
        </w:rPr>
        <w:instrText xml:space="preserve"> PAGEREF _Toc12651 \h </w:instrText>
      </w:r>
      <w:r>
        <w:rPr>
          <w:color w:val="auto"/>
        </w:rPr>
        <w:fldChar w:fldCharType="separate"/>
      </w:r>
      <w:r>
        <w:rPr>
          <w:color w:val="auto"/>
        </w:rPr>
        <w:t>55</w:t>
      </w:r>
      <w:r>
        <w:rPr>
          <w:color w:val="auto"/>
        </w:rPr>
        <w:fldChar w:fldCharType="end"/>
      </w:r>
      <w:r>
        <w:rPr>
          <w:rFonts w:hint="eastAsia" w:ascii="仿宋" w:hAnsi="仿宋" w:eastAsia="仿宋" w:cs="仿宋"/>
          <w:color w:val="auto"/>
          <w:szCs w:val="24"/>
        </w:rPr>
        <w:fldChar w:fldCharType="end"/>
      </w:r>
    </w:p>
    <w:p w14:paraId="2F06BA12">
      <w:pPr>
        <w:pStyle w:val="8"/>
        <w:keepNext w:val="0"/>
        <w:keepLines w:val="0"/>
        <w:pageBreakBefore w:val="0"/>
        <w:widowControl w:val="0"/>
        <w:tabs>
          <w:tab w:val="right" w:leader="dot" w:pos="8306"/>
        </w:tabs>
        <w:kinsoku/>
        <w:wordWrap/>
        <w:overflowPunct/>
        <w:topLinePunct w:val="0"/>
        <w:autoSpaceDE/>
        <w:autoSpaceDN/>
        <w:bidi w:val="0"/>
        <w:adjustRightInd w:val="0"/>
        <w:snapToGrid/>
        <w:spacing w:line="240" w:lineRule="auto"/>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_Toc29601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4.4周边地块生产活动情况及污染识别</w:t>
      </w:r>
      <w:r>
        <w:rPr>
          <w:color w:val="auto"/>
        </w:rPr>
        <w:tab/>
      </w:r>
      <w:r>
        <w:rPr>
          <w:color w:val="auto"/>
        </w:rPr>
        <w:fldChar w:fldCharType="begin"/>
      </w:r>
      <w:r>
        <w:rPr>
          <w:color w:val="auto"/>
        </w:rPr>
        <w:instrText xml:space="preserve"> PAGEREF _Toc29601 \h </w:instrText>
      </w:r>
      <w:r>
        <w:rPr>
          <w:color w:val="auto"/>
        </w:rPr>
        <w:fldChar w:fldCharType="separate"/>
      </w:r>
      <w:r>
        <w:rPr>
          <w:color w:val="auto"/>
        </w:rPr>
        <w:t>69</w:t>
      </w:r>
      <w:r>
        <w:rPr>
          <w:color w:val="auto"/>
        </w:rPr>
        <w:fldChar w:fldCharType="end"/>
      </w:r>
      <w:r>
        <w:rPr>
          <w:rFonts w:hint="eastAsia" w:ascii="仿宋" w:hAnsi="仿宋" w:eastAsia="仿宋" w:cs="仿宋"/>
          <w:color w:val="auto"/>
          <w:szCs w:val="24"/>
        </w:rPr>
        <w:fldChar w:fldCharType="end"/>
      </w:r>
    </w:p>
    <w:p w14:paraId="0F358F3E">
      <w:pPr>
        <w:pStyle w:val="8"/>
        <w:keepNext w:val="0"/>
        <w:keepLines w:val="0"/>
        <w:pageBreakBefore w:val="0"/>
        <w:widowControl w:val="0"/>
        <w:tabs>
          <w:tab w:val="right" w:leader="dot" w:pos="8306"/>
        </w:tabs>
        <w:kinsoku/>
        <w:wordWrap/>
        <w:overflowPunct/>
        <w:topLinePunct w:val="0"/>
        <w:autoSpaceDE/>
        <w:autoSpaceDN/>
        <w:bidi w:val="0"/>
        <w:adjustRightInd w:val="0"/>
        <w:snapToGrid/>
        <w:spacing w:line="240" w:lineRule="auto"/>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_Toc30747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4.5调查资料关联性分析</w:t>
      </w:r>
      <w:r>
        <w:rPr>
          <w:color w:val="auto"/>
        </w:rPr>
        <w:tab/>
      </w:r>
      <w:r>
        <w:rPr>
          <w:color w:val="auto"/>
        </w:rPr>
        <w:fldChar w:fldCharType="begin"/>
      </w:r>
      <w:r>
        <w:rPr>
          <w:color w:val="auto"/>
        </w:rPr>
        <w:instrText xml:space="preserve"> PAGEREF _Toc30747 \h </w:instrText>
      </w:r>
      <w:r>
        <w:rPr>
          <w:color w:val="auto"/>
        </w:rPr>
        <w:fldChar w:fldCharType="separate"/>
      </w:r>
      <w:r>
        <w:rPr>
          <w:color w:val="auto"/>
        </w:rPr>
        <w:t>104</w:t>
      </w:r>
      <w:r>
        <w:rPr>
          <w:color w:val="auto"/>
        </w:rPr>
        <w:fldChar w:fldCharType="end"/>
      </w:r>
      <w:r>
        <w:rPr>
          <w:rFonts w:hint="eastAsia" w:ascii="仿宋" w:hAnsi="仿宋" w:eastAsia="仿宋" w:cs="仿宋"/>
          <w:color w:val="auto"/>
          <w:szCs w:val="24"/>
        </w:rPr>
        <w:fldChar w:fldCharType="end"/>
      </w:r>
    </w:p>
    <w:p w14:paraId="43CFF046">
      <w:pPr>
        <w:pStyle w:val="8"/>
        <w:keepNext w:val="0"/>
        <w:keepLines w:val="0"/>
        <w:pageBreakBefore w:val="0"/>
        <w:widowControl w:val="0"/>
        <w:tabs>
          <w:tab w:val="right" w:leader="dot" w:pos="8306"/>
        </w:tabs>
        <w:kinsoku/>
        <w:wordWrap/>
        <w:overflowPunct/>
        <w:topLinePunct w:val="0"/>
        <w:autoSpaceDE/>
        <w:autoSpaceDN/>
        <w:bidi w:val="0"/>
        <w:adjustRightInd w:val="0"/>
        <w:snapToGrid/>
        <w:spacing w:line="240" w:lineRule="auto"/>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_Toc17676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4.6第一阶段土壤污染状况调查总结</w:t>
      </w:r>
      <w:r>
        <w:rPr>
          <w:color w:val="auto"/>
        </w:rPr>
        <w:tab/>
      </w:r>
      <w:r>
        <w:rPr>
          <w:color w:val="auto"/>
        </w:rPr>
        <w:fldChar w:fldCharType="begin"/>
      </w:r>
      <w:r>
        <w:rPr>
          <w:color w:val="auto"/>
        </w:rPr>
        <w:instrText xml:space="preserve"> PAGEREF _Toc17676 \h </w:instrText>
      </w:r>
      <w:r>
        <w:rPr>
          <w:color w:val="auto"/>
        </w:rPr>
        <w:fldChar w:fldCharType="separate"/>
      </w:r>
      <w:r>
        <w:rPr>
          <w:color w:val="auto"/>
        </w:rPr>
        <w:t>107</w:t>
      </w:r>
      <w:r>
        <w:rPr>
          <w:color w:val="auto"/>
        </w:rPr>
        <w:fldChar w:fldCharType="end"/>
      </w:r>
      <w:r>
        <w:rPr>
          <w:rFonts w:hint="eastAsia" w:ascii="仿宋" w:hAnsi="仿宋" w:eastAsia="仿宋" w:cs="仿宋"/>
          <w:color w:val="auto"/>
          <w:szCs w:val="24"/>
        </w:rPr>
        <w:fldChar w:fldCharType="end"/>
      </w:r>
    </w:p>
    <w:p w14:paraId="23F696DC">
      <w:pPr>
        <w:pStyle w:val="7"/>
        <w:keepNext w:val="0"/>
        <w:keepLines w:val="0"/>
        <w:pageBreakBefore w:val="0"/>
        <w:widowControl w:val="0"/>
        <w:tabs>
          <w:tab w:val="right" w:leader="dot" w:pos="8306"/>
        </w:tabs>
        <w:kinsoku/>
        <w:wordWrap/>
        <w:overflowPunct/>
        <w:topLinePunct w:val="0"/>
        <w:autoSpaceDE/>
        <w:autoSpaceDN/>
        <w:bidi w:val="0"/>
        <w:adjustRightInd w:val="0"/>
        <w:snapToGrid/>
        <w:spacing w:line="240" w:lineRule="auto"/>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_Toc23564 </w:instrText>
      </w:r>
      <w:r>
        <w:rPr>
          <w:rFonts w:hint="eastAsia" w:ascii="仿宋" w:hAnsi="仿宋" w:eastAsia="仿宋" w:cs="仿宋"/>
          <w:color w:val="auto"/>
          <w:szCs w:val="24"/>
        </w:rPr>
        <w:fldChar w:fldCharType="separate"/>
      </w:r>
      <w:r>
        <w:rPr>
          <w:rFonts w:hint="eastAsia" w:ascii="仿宋" w:hAnsi="仿宋" w:eastAsia="仿宋" w:cs="仿宋"/>
          <w:bCs w:val="0"/>
          <w:color w:val="auto"/>
          <w:kern w:val="0"/>
          <w:szCs w:val="36"/>
          <w:lang w:val="en-US" w:eastAsia="zh-CN" w:bidi="zh-CN"/>
        </w:rPr>
        <w:t>5  工作计划</w:t>
      </w:r>
      <w:r>
        <w:rPr>
          <w:color w:val="auto"/>
        </w:rPr>
        <w:tab/>
      </w:r>
      <w:r>
        <w:rPr>
          <w:color w:val="auto"/>
        </w:rPr>
        <w:fldChar w:fldCharType="begin"/>
      </w:r>
      <w:r>
        <w:rPr>
          <w:color w:val="auto"/>
        </w:rPr>
        <w:instrText xml:space="preserve"> PAGEREF _Toc23564 \h </w:instrText>
      </w:r>
      <w:r>
        <w:rPr>
          <w:color w:val="auto"/>
        </w:rPr>
        <w:fldChar w:fldCharType="separate"/>
      </w:r>
      <w:r>
        <w:rPr>
          <w:color w:val="auto"/>
        </w:rPr>
        <w:t>117</w:t>
      </w:r>
      <w:r>
        <w:rPr>
          <w:color w:val="auto"/>
        </w:rPr>
        <w:fldChar w:fldCharType="end"/>
      </w:r>
      <w:r>
        <w:rPr>
          <w:rFonts w:hint="eastAsia" w:ascii="仿宋" w:hAnsi="仿宋" w:eastAsia="仿宋" w:cs="仿宋"/>
          <w:color w:val="auto"/>
          <w:szCs w:val="24"/>
        </w:rPr>
        <w:fldChar w:fldCharType="end"/>
      </w:r>
    </w:p>
    <w:p w14:paraId="3994FF3A">
      <w:pPr>
        <w:pStyle w:val="8"/>
        <w:keepNext w:val="0"/>
        <w:keepLines w:val="0"/>
        <w:pageBreakBefore w:val="0"/>
        <w:widowControl w:val="0"/>
        <w:tabs>
          <w:tab w:val="right" w:leader="dot" w:pos="8306"/>
        </w:tabs>
        <w:kinsoku/>
        <w:wordWrap/>
        <w:overflowPunct/>
        <w:topLinePunct w:val="0"/>
        <w:autoSpaceDE/>
        <w:autoSpaceDN/>
        <w:bidi w:val="0"/>
        <w:adjustRightInd w:val="0"/>
        <w:snapToGrid/>
        <w:spacing w:line="240" w:lineRule="auto"/>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_Toc14014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5.1 采样方案</w:t>
      </w:r>
      <w:r>
        <w:rPr>
          <w:color w:val="auto"/>
        </w:rPr>
        <w:tab/>
      </w:r>
      <w:r>
        <w:rPr>
          <w:color w:val="auto"/>
        </w:rPr>
        <w:fldChar w:fldCharType="begin"/>
      </w:r>
      <w:r>
        <w:rPr>
          <w:color w:val="auto"/>
        </w:rPr>
        <w:instrText xml:space="preserve"> PAGEREF _Toc14014 \h </w:instrText>
      </w:r>
      <w:r>
        <w:rPr>
          <w:color w:val="auto"/>
        </w:rPr>
        <w:fldChar w:fldCharType="separate"/>
      </w:r>
      <w:r>
        <w:rPr>
          <w:color w:val="auto"/>
        </w:rPr>
        <w:t>117</w:t>
      </w:r>
      <w:r>
        <w:rPr>
          <w:color w:val="auto"/>
        </w:rPr>
        <w:fldChar w:fldCharType="end"/>
      </w:r>
      <w:r>
        <w:rPr>
          <w:rFonts w:hint="eastAsia" w:ascii="仿宋" w:hAnsi="仿宋" w:eastAsia="仿宋" w:cs="仿宋"/>
          <w:color w:val="auto"/>
          <w:szCs w:val="24"/>
        </w:rPr>
        <w:fldChar w:fldCharType="end"/>
      </w:r>
    </w:p>
    <w:p w14:paraId="7EF8E50C">
      <w:pPr>
        <w:pStyle w:val="8"/>
        <w:keepNext w:val="0"/>
        <w:keepLines w:val="0"/>
        <w:pageBreakBefore w:val="0"/>
        <w:widowControl w:val="0"/>
        <w:tabs>
          <w:tab w:val="right" w:leader="dot" w:pos="8306"/>
        </w:tabs>
        <w:kinsoku/>
        <w:wordWrap/>
        <w:overflowPunct/>
        <w:topLinePunct w:val="0"/>
        <w:autoSpaceDE/>
        <w:autoSpaceDN/>
        <w:bidi w:val="0"/>
        <w:adjustRightInd w:val="0"/>
        <w:snapToGrid/>
        <w:spacing w:line="240" w:lineRule="auto"/>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_Toc15362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5.2 分析检测方案</w:t>
      </w:r>
      <w:r>
        <w:rPr>
          <w:color w:val="auto"/>
        </w:rPr>
        <w:tab/>
      </w:r>
      <w:r>
        <w:rPr>
          <w:color w:val="auto"/>
        </w:rPr>
        <w:fldChar w:fldCharType="begin"/>
      </w:r>
      <w:r>
        <w:rPr>
          <w:color w:val="auto"/>
        </w:rPr>
        <w:instrText xml:space="preserve"> PAGEREF _Toc15362 \h </w:instrText>
      </w:r>
      <w:r>
        <w:rPr>
          <w:color w:val="auto"/>
        </w:rPr>
        <w:fldChar w:fldCharType="separate"/>
      </w:r>
      <w:r>
        <w:rPr>
          <w:color w:val="auto"/>
        </w:rPr>
        <w:t>156</w:t>
      </w:r>
      <w:r>
        <w:rPr>
          <w:color w:val="auto"/>
        </w:rPr>
        <w:fldChar w:fldCharType="end"/>
      </w:r>
      <w:r>
        <w:rPr>
          <w:rFonts w:hint="eastAsia" w:ascii="仿宋" w:hAnsi="仿宋" w:eastAsia="仿宋" w:cs="仿宋"/>
          <w:color w:val="auto"/>
          <w:szCs w:val="24"/>
        </w:rPr>
        <w:fldChar w:fldCharType="end"/>
      </w:r>
    </w:p>
    <w:p w14:paraId="1BDE90E2">
      <w:pPr>
        <w:pStyle w:val="7"/>
        <w:keepNext w:val="0"/>
        <w:keepLines w:val="0"/>
        <w:pageBreakBefore w:val="0"/>
        <w:widowControl w:val="0"/>
        <w:tabs>
          <w:tab w:val="right" w:leader="dot" w:pos="8306"/>
        </w:tabs>
        <w:kinsoku/>
        <w:wordWrap/>
        <w:overflowPunct/>
        <w:topLinePunct w:val="0"/>
        <w:autoSpaceDE/>
        <w:autoSpaceDN/>
        <w:bidi w:val="0"/>
        <w:adjustRightInd w:val="0"/>
        <w:snapToGrid/>
        <w:spacing w:line="240" w:lineRule="auto"/>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_Toc20188 </w:instrText>
      </w:r>
      <w:r>
        <w:rPr>
          <w:rFonts w:hint="eastAsia" w:ascii="仿宋" w:hAnsi="仿宋" w:eastAsia="仿宋" w:cs="仿宋"/>
          <w:color w:val="auto"/>
          <w:szCs w:val="24"/>
        </w:rPr>
        <w:fldChar w:fldCharType="separate"/>
      </w:r>
      <w:r>
        <w:rPr>
          <w:rFonts w:hint="eastAsia" w:ascii="仿宋" w:hAnsi="仿宋" w:eastAsia="仿宋" w:cs="仿宋"/>
          <w:bCs w:val="0"/>
          <w:color w:val="auto"/>
          <w:kern w:val="0"/>
          <w:szCs w:val="36"/>
          <w:lang w:val="en-US" w:eastAsia="zh-CN" w:bidi="zh-CN"/>
        </w:rPr>
        <w:t>6  现场采样和实验室分析</w:t>
      </w:r>
      <w:r>
        <w:rPr>
          <w:color w:val="auto"/>
        </w:rPr>
        <w:tab/>
      </w:r>
      <w:r>
        <w:rPr>
          <w:color w:val="auto"/>
        </w:rPr>
        <w:fldChar w:fldCharType="begin"/>
      </w:r>
      <w:r>
        <w:rPr>
          <w:color w:val="auto"/>
        </w:rPr>
        <w:instrText xml:space="preserve"> PAGEREF _Toc20188 \h </w:instrText>
      </w:r>
      <w:r>
        <w:rPr>
          <w:color w:val="auto"/>
        </w:rPr>
        <w:fldChar w:fldCharType="separate"/>
      </w:r>
      <w:r>
        <w:rPr>
          <w:color w:val="auto"/>
        </w:rPr>
        <w:t>157</w:t>
      </w:r>
      <w:r>
        <w:rPr>
          <w:color w:val="auto"/>
        </w:rPr>
        <w:fldChar w:fldCharType="end"/>
      </w:r>
      <w:r>
        <w:rPr>
          <w:rFonts w:hint="eastAsia" w:ascii="仿宋" w:hAnsi="仿宋" w:eastAsia="仿宋" w:cs="仿宋"/>
          <w:color w:val="auto"/>
          <w:szCs w:val="24"/>
        </w:rPr>
        <w:fldChar w:fldCharType="end"/>
      </w:r>
    </w:p>
    <w:p w14:paraId="49B4E4D2">
      <w:pPr>
        <w:pStyle w:val="8"/>
        <w:keepNext w:val="0"/>
        <w:keepLines w:val="0"/>
        <w:pageBreakBefore w:val="0"/>
        <w:widowControl w:val="0"/>
        <w:tabs>
          <w:tab w:val="right" w:leader="dot" w:pos="8306"/>
        </w:tabs>
        <w:kinsoku/>
        <w:wordWrap/>
        <w:overflowPunct/>
        <w:topLinePunct w:val="0"/>
        <w:autoSpaceDE/>
        <w:autoSpaceDN/>
        <w:bidi w:val="0"/>
        <w:adjustRightInd w:val="0"/>
        <w:snapToGrid/>
        <w:spacing w:line="240" w:lineRule="auto"/>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_Toc17997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6.1 现场探测方法和程序</w:t>
      </w:r>
      <w:r>
        <w:rPr>
          <w:color w:val="auto"/>
        </w:rPr>
        <w:tab/>
      </w:r>
      <w:r>
        <w:rPr>
          <w:color w:val="auto"/>
        </w:rPr>
        <w:fldChar w:fldCharType="begin"/>
      </w:r>
      <w:r>
        <w:rPr>
          <w:color w:val="auto"/>
        </w:rPr>
        <w:instrText xml:space="preserve"> PAGEREF _Toc17997 \h </w:instrText>
      </w:r>
      <w:r>
        <w:rPr>
          <w:color w:val="auto"/>
        </w:rPr>
        <w:fldChar w:fldCharType="separate"/>
      </w:r>
      <w:r>
        <w:rPr>
          <w:color w:val="auto"/>
        </w:rPr>
        <w:t>157</w:t>
      </w:r>
      <w:r>
        <w:rPr>
          <w:color w:val="auto"/>
        </w:rPr>
        <w:fldChar w:fldCharType="end"/>
      </w:r>
      <w:r>
        <w:rPr>
          <w:rFonts w:hint="eastAsia" w:ascii="仿宋" w:hAnsi="仿宋" w:eastAsia="仿宋" w:cs="仿宋"/>
          <w:color w:val="auto"/>
          <w:szCs w:val="24"/>
        </w:rPr>
        <w:fldChar w:fldCharType="end"/>
      </w:r>
    </w:p>
    <w:p w14:paraId="7C38F6FC">
      <w:pPr>
        <w:pStyle w:val="8"/>
        <w:keepNext w:val="0"/>
        <w:keepLines w:val="0"/>
        <w:pageBreakBefore w:val="0"/>
        <w:widowControl w:val="0"/>
        <w:tabs>
          <w:tab w:val="right" w:leader="dot" w:pos="8306"/>
        </w:tabs>
        <w:kinsoku/>
        <w:wordWrap/>
        <w:overflowPunct/>
        <w:topLinePunct w:val="0"/>
        <w:autoSpaceDE/>
        <w:autoSpaceDN/>
        <w:bidi w:val="0"/>
        <w:adjustRightInd w:val="0"/>
        <w:snapToGrid/>
        <w:spacing w:line="240" w:lineRule="auto"/>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_Toc18474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6.2 采样方法和程序</w:t>
      </w:r>
      <w:r>
        <w:rPr>
          <w:color w:val="auto"/>
        </w:rPr>
        <w:tab/>
      </w:r>
      <w:r>
        <w:rPr>
          <w:color w:val="auto"/>
        </w:rPr>
        <w:fldChar w:fldCharType="begin"/>
      </w:r>
      <w:r>
        <w:rPr>
          <w:color w:val="auto"/>
        </w:rPr>
        <w:instrText xml:space="preserve"> PAGEREF _Toc18474 \h </w:instrText>
      </w:r>
      <w:r>
        <w:rPr>
          <w:color w:val="auto"/>
        </w:rPr>
        <w:fldChar w:fldCharType="separate"/>
      </w:r>
      <w:r>
        <w:rPr>
          <w:color w:val="auto"/>
        </w:rPr>
        <w:t>159</w:t>
      </w:r>
      <w:r>
        <w:rPr>
          <w:color w:val="auto"/>
        </w:rPr>
        <w:fldChar w:fldCharType="end"/>
      </w:r>
      <w:r>
        <w:rPr>
          <w:rFonts w:hint="eastAsia" w:ascii="仿宋" w:hAnsi="仿宋" w:eastAsia="仿宋" w:cs="仿宋"/>
          <w:color w:val="auto"/>
          <w:szCs w:val="24"/>
        </w:rPr>
        <w:fldChar w:fldCharType="end"/>
      </w:r>
    </w:p>
    <w:p w14:paraId="6A8E326D">
      <w:pPr>
        <w:pStyle w:val="7"/>
        <w:keepNext w:val="0"/>
        <w:keepLines w:val="0"/>
        <w:pageBreakBefore w:val="0"/>
        <w:widowControl w:val="0"/>
        <w:tabs>
          <w:tab w:val="right" w:leader="dot" w:pos="8306"/>
        </w:tabs>
        <w:kinsoku/>
        <w:wordWrap/>
        <w:overflowPunct/>
        <w:topLinePunct w:val="0"/>
        <w:autoSpaceDE/>
        <w:autoSpaceDN/>
        <w:bidi w:val="0"/>
        <w:adjustRightInd w:val="0"/>
        <w:snapToGrid/>
        <w:spacing w:line="240" w:lineRule="auto"/>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_Toc24949 </w:instrText>
      </w:r>
      <w:r>
        <w:rPr>
          <w:rFonts w:hint="eastAsia" w:ascii="仿宋" w:hAnsi="仿宋" w:eastAsia="仿宋" w:cs="仿宋"/>
          <w:color w:val="auto"/>
          <w:szCs w:val="24"/>
        </w:rPr>
        <w:fldChar w:fldCharType="separate"/>
      </w:r>
      <w:r>
        <w:rPr>
          <w:rFonts w:hint="eastAsia" w:ascii="Times New Roman" w:hAnsi="Times New Roman" w:eastAsia="仿宋" w:cs="Times New Roman"/>
          <w:bCs w:val="0"/>
          <w:color w:val="auto"/>
          <w:szCs w:val="36"/>
          <w:lang w:val="en-US" w:eastAsia="zh-CN"/>
        </w:rPr>
        <w:t>7质量保证与质量控制</w:t>
      </w:r>
      <w:r>
        <w:rPr>
          <w:color w:val="auto"/>
        </w:rPr>
        <w:tab/>
      </w:r>
      <w:r>
        <w:rPr>
          <w:color w:val="auto"/>
        </w:rPr>
        <w:fldChar w:fldCharType="begin"/>
      </w:r>
      <w:r>
        <w:rPr>
          <w:color w:val="auto"/>
        </w:rPr>
        <w:instrText xml:space="preserve"> PAGEREF _Toc24949 \h </w:instrText>
      </w:r>
      <w:r>
        <w:rPr>
          <w:color w:val="auto"/>
        </w:rPr>
        <w:fldChar w:fldCharType="separate"/>
      </w:r>
      <w:r>
        <w:rPr>
          <w:color w:val="auto"/>
        </w:rPr>
        <w:t>205</w:t>
      </w:r>
      <w:r>
        <w:rPr>
          <w:color w:val="auto"/>
        </w:rPr>
        <w:fldChar w:fldCharType="end"/>
      </w:r>
      <w:r>
        <w:rPr>
          <w:rFonts w:hint="eastAsia" w:ascii="仿宋" w:hAnsi="仿宋" w:eastAsia="仿宋" w:cs="仿宋"/>
          <w:color w:val="auto"/>
          <w:szCs w:val="24"/>
        </w:rPr>
        <w:fldChar w:fldCharType="end"/>
      </w:r>
    </w:p>
    <w:p w14:paraId="697AD54F">
      <w:pPr>
        <w:pStyle w:val="8"/>
        <w:keepNext w:val="0"/>
        <w:keepLines w:val="0"/>
        <w:pageBreakBefore w:val="0"/>
        <w:widowControl w:val="0"/>
        <w:tabs>
          <w:tab w:val="right" w:leader="dot" w:pos="8306"/>
        </w:tabs>
        <w:kinsoku/>
        <w:wordWrap/>
        <w:overflowPunct/>
        <w:topLinePunct w:val="0"/>
        <w:autoSpaceDE/>
        <w:autoSpaceDN/>
        <w:bidi w:val="0"/>
        <w:adjustRightInd w:val="0"/>
        <w:snapToGrid/>
        <w:spacing w:line="240" w:lineRule="auto"/>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_Toc29340 </w:instrText>
      </w:r>
      <w:r>
        <w:rPr>
          <w:rFonts w:hint="eastAsia" w:ascii="仿宋" w:hAnsi="仿宋" w:eastAsia="仿宋" w:cs="仿宋"/>
          <w:color w:val="auto"/>
          <w:szCs w:val="24"/>
        </w:rPr>
        <w:fldChar w:fldCharType="separate"/>
      </w:r>
      <w:r>
        <w:rPr>
          <w:rFonts w:hint="eastAsia" w:eastAsia="仿宋" w:cs="Times New Roman"/>
          <w:bCs w:val="0"/>
          <w:color w:val="auto"/>
          <w:szCs w:val="30"/>
          <w:lang w:val="en-US" w:eastAsia="zh-CN"/>
        </w:rPr>
        <w:t>7</w:t>
      </w:r>
      <w:r>
        <w:rPr>
          <w:rFonts w:hint="eastAsia" w:ascii="Times New Roman" w:hAnsi="Times New Roman" w:eastAsia="仿宋" w:cs="Times New Roman"/>
          <w:bCs w:val="0"/>
          <w:color w:val="auto"/>
          <w:szCs w:val="30"/>
          <w:lang w:val="en-US" w:eastAsia="zh-CN"/>
        </w:rPr>
        <w:t>.1质量保证与质量控制工作组情况</w:t>
      </w:r>
      <w:r>
        <w:rPr>
          <w:color w:val="auto"/>
        </w:rPr>
        <w:tab/>
      </w:r>
      <w:r>
        <w:rPr>
          <w:color w:val="auto"/>
        </w:rPr>
        <w:fldChar w:fldCharType="begin"/>
      </w:r>
      <w:r>
        <w:rPr>
          <w:color w:val="auto"/>
        </w:rPr>
        <w:instrText xml:space="preserve"> PAGEREF _Toc29340 \h </w:instrText>
      </w:r>
      <w:r>
        <w:rPr>
          <w:color w:val="auto"/>
        </w:rPr>
        <w:fldChar w:fldCharType="separate"/>
      </w:r>
      <w:r>
        <w:rPr>
          <w:color w:val="auto"/>
        </w:rPr>
        <w:t>205</w:t>
      </w:r>
      <w:r>
        <w:rPr>
          <w:color w:val="auto"/>
        </w:rPr>
        <w:fldChar w:fldCharType="end"/>
      </w:r>
      <w:r>
        <w:rPr>
          <w:rFonts w:hint="eastAsia" w:ascii="仿宋" w:hAnsi="仿宋" w:eastAsia="仿宋" w:cs="仿宋"/>
          <w:color w:val="auto"/>
          <w:szCs w:val="24"/>
        </w:rPr>
        <w:fldChar w:fldCharType="end"/>
      </w:r>
    </w:p>
    <w:p w14:paraId="6E9DAA99">
      <w:pPr>
        <w:pStyle w:val="7"/>
        <w:keepNext w:val="0"/>
        <w:keepLines w:val="0"/>
        <w:pageBreakBefore w:val="0"/>
        <w:widowControl w:val="0"/>
        <w:tabs>
          <w:tab w:val="right" w:leader="dot" w:pos="8306"/>
        </w:tabs>
        <w:kinsoku/>
        <w:wordWrap/>
        <w:overflowPunct/>
        <w:topLinePunct w:val="0"/>
        <w:autoSpaceDE/>
        <w:autoSpaceDN/>
        <w:bidi w:val="0"/>
        <w:adjustRightInd w:val="0"/>
        <w:snapToGrid/>
        <w:spacing w:line="240" w:lineRule="auto"/>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_Toc15105 </w:instrText>
      </w:r>
      <w:r>
        <w:rPr>
          <w:rFonts w:hint="eastAsia" w:ascii="仿宋" w:hAnsi="仿宋" w:eastAsia="仿宋" w:cs="仿宋"/>
          <w:color w:val="auto"/>
          <w:szCs w:val="24"/>
        </w:rPr>
        <w:fldChar w:fldCharType="separate"/>
      </w:r>
      <w:r>
        <w:rPr>
          <w:rFonts w:hint="eastAsia" w:ascii="仿宋" w:hAnsi="仿宋" w:eastAsia="仿宋" w:cs="仿宋"/>
          <w:bCs w:val="0"/>
          <w:color w:val="auto"/>
          <w:kern w:val="0"/>
          <w:szCs w:val="36"/>
          <w:lang w:val="en-US" w:eastAsia="zh-CN" w:bidi="zh-CN"/>
        </w:rPr>
        <w:t>8  结果和评价</w:t>
      </w:r>
      <w:r>
        <w:rPr>
          <w:color w:val="auto"/>
        </w:rPr>
        <w:tab/>
      </w:r>
      <w:r>
        <w:rPr>
          <w:color w:val="auto"/>
        </w:rPr>
        <w:fldChar w:fldCharType="begin"/>
      </w:r>
      <w:r>
        <w:rPr>
          <w:color w:val="auto"/>
        </w:rPr>
        <w:instrText xml:space="preserve"> PAGEREF _Toc15105 \h </w:instrText>
      </w:r>
      <w:r>
        <w:rPr>
          <w:color w:val="auto"/>
        </w:rPr>
        <w:fldChar w:fldCharType="separate"/>
      </w:r>
      <w:r>
        <w:rPr>
          <w:color w:val="auto"/>
        </w:rPr>
        <w:t>248</w:t>
      </w:r>
      <w:r>
        <w:rPr>
          <w:color w:val="auto"/>
        </w:rPr>
        <w:fldChar w:fldCharType="end"/>
      </w:r>
      <w:r>
        <w:rPr>
          <w:rFonts w:hint="eastAsia" w:ascii="仿宋" w:hAnsi="仿宋" w:eastAsia="仿宋" w:cs="仿宋"/>
          <w:color w:val="auto"/>
          <w:szCs w:val="24"/>
        </w:rPr>
        <w:fldChar w:fldCharType="end"/>
      </w:r>
    </w:p>
    <w:p w14:paraId="13975CFE">
      <w:pPr>
        <w:pStyle w:val="8"/>
        <w:keepNext w:val="0"/>
        <w:keepLines w:val="0"/>
        <w:pageBreakBefore w:val="0"/>
        <w:widowControl w:val="0"/>
        <w:tabs>
          <w:tab w:val="right" w:leader="dot" w:pos="8306"/>
        </w:tabs>
        <w:kinsoku/>
        <w:wordWrap/>
        <w:overflowPunct/>
        <w:topLinePunct w:val="0"/>
        <w:autoSpaceDE/>
        <w:autoSpaceDN/>
        <w:bidi w:val="0"/>
        <w:adjustRightInd w:val="0"/>
        <w:snapToGrid/>
        <w:spacing w:line="240" w:lineRule="auto"/>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_Toc30072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8.1 评价标准</w:t>
      </w:r>
      <w:r>
        <w:rPr>
          <w:color w:val="auto"/>
        </w:rPr>
        <w:tab/>
      </w:r>
      <w:r>
        <w:rPr>
          <w:color w:val="auto"/>
        </w:rPr>
        <w:fldChar w:fldCharType="begin"/>
      </w:r>
      <w:r>
        <w:rPr>
          <w:color w:val="auto"/>
        </w:rPr>
        <w:instrText xml:space="preserve"> PAGEREF _Toc30072 \h </w:instrText>
      </w:r>
      <w:r>
        <w:rPr>
          <w:color w:val="auto"/>
        </w:rPr>
        <w:fldChar w:fldCharType="separate"/>
      </w:r>
      <w:r>
        <w:rPr>
          <w:color w:val="auto"/>
        </w:rPr>
        <w:t>248</w:t>
      </w:r>
      <w:r>
        <w:rPr>
          <w:color w:val="auto"/>
        </w:rPr>
        <w:fldChar w:fldCharType="end"/>
      </w:r>
      <w:r>
        <w:rPr>
          <w:rFonts w:hint="eastAsia" w:ascii="仿宋" w:hAnsi="仿宋" w:eastAsia="仿宋" w:cs="仿宋"/>
          <w:color w:val="auto"/>
          <w:szCs w:val="24"/>
        </w:rPr>
        <w:fldChar w:fldCharType="end"/>
      </w:r>
    </w:p>
    <w:p w14:paraId="286C9760">
      <w:pPr>
        <w:pStyle w:val="8"/>
        <w:keepNext w:val="0"/>
        <w:keepLines w:val="0"/>
        <w:pageBreakBefore w:val="0"/>
        <w:widowControl w:val="0"/>
        <w:tabs>
          <w:tab w:val="right" w:leader="dot" w:pos="8306"/>
        </w:tabs>
        <w:kinsoku/>
        <w:wordWrap/>
        <w:overflowPunct/>
        <w:topLinePunct w:val="0"/>
        <w:autoSpaceDE/>
        <w:autoSpaceDN/>
        <w:bidi w:val="0"/>
        <w:adjustRightInd w:val="0"/>
        <w:snapToGrid/>
        <w:spacing w:line="240" w:lineRule="auto"/>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_Toc13708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8.2 分析检测结果</w:t>
      </w:r>
      <w:r>
        <w:rPr>
          <w:color w:val="auto"/>
        </w:rPr>
        <w:tab/>
      </w:r>
      <w:r>
        <w:rPr>
          <w:color w:val="auto"/>
        </w:rPr>
        <w:fldChar w:fldCharType="begin"/>
      </w:r>
      <w:r>
        <w:rPr>
          <w:color w:val="auto"/>
        </w:rPr>
        <w:instrText xml:space="preserve"> PAGEREF _Toc13708 \h </w:instrText>
      </w:r>
      <w:r>
        <w:rPr>
          <w:color w:val="auto"/>
        </w:rPr>
        <w:fldChar w:fldCharType="separate"/>
      </w:r>
      <w:r>
        <w:rPr>
          <w:color w:val="auto"/>
        </w:rPr>
        <w:t>256</w:t>
      </w:r>
      <w:r>
        <w:rPr>
          <w:color w:val="auto"/>
        </w:rPr>
        <w:fldChar w:fldCharType="end"/>
      </w:r>
      <w:r>
        <w:rPr>
          <w:rFonts w:hint="eastAsia" w:ascii="仿宋" w:hAnsi="仿宋" w:eastAsia="仿宋" w:cs="仿宋"/>
          <w:color w:val="auto"/>
          <w:szCs w:val="24"/>
        </w:rPr>
        <w:fldChar w:fldCharType="end"/>
      </w:r>
    </w:p>
    <w:p w14:paraId="6FBB2716">
      <w:pPr>
        <w:pStyle w:val="8"/>
        <w:keepNext w:val="0"/>
        <w:keepLines w:val="0"/>
        <w:pageBreakBefore w:val="0"/>
        <w:widowControl w:val="0"/>
        <w:tabs>
          <w:tab w:val="right" w:leader="dot" w:pos="8306"/>
        </w:tabs>
        <w:kinsoku/>
        <w:wordWrap/>
        <w:overflowPunct/>
        <w:topLinePunct w:val="0"/>
        <w:autoSpaceDE/>
        <w:autoSpaceDN/>
        <w:bidi w:val="0"/>
        <w:adjustRightInd w:val="0"/>
        <w:snapToGrid/>
        <w:spacing w:line="240" w:lineRule="auto"/>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_Toc30867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8.3 结果分析和评价</w:t>
      </w:r>
      <w:r>
        <w:rPr>
          <w:color w:val="auto"/>
        </w:rPr>
        <w:tab/>
      </w:r>
      <w:r>
        <w:rPr>
          <w:color w:val="auto"/>
        </w:rPr>
        <w:fldChar w:fldCharType="begin"/>
      </w:r>
      <w:r>
        <w:rPr>
          <w:color w:val="auto"/>
        </w:rPr>
        <w:instrText xml:space="preserve"> PAGEREF _Toc30867 \h </w:instrText>
      </w:r>
      <w:r>
        <w:rPr>
          <w:color w:val="auto"/>
        </w:rPr>
        <w:fldChar w:fldCharType="separate"/>
      </w:r>
      <w:r>
        <w:rPr>
          <w:color w:val="auto"/>
        </w:rPr>
        <w:t>269</w:t>
      </w:r>
      <w:r>
        <w:rPr>
          <w:color w:val="auto"/>
        </w:rPr>
        <w:fldChar w:fldCharType="end"/>
      </w:r>
      <w:r>
        <w:rPr>
          <w:rFonts w:hint="eastAsia" w:ascii="仿宋" w:hAnsi="仿宋" w:eastAsia="仿宋" w:cs="仿宋"/>
          <w:color w:val="auto"/>
          <w:szCs w:val="24"/>
        </w:rPr>
        <w:fldChar w:fldCharType="end"/>
      </w:r>
    </w:p>
    <w:p w14:paraId="376A89EB">
      <w:pPr>
        <w:pStyle w:val="8"/>
        <w:keepNext w:val="0"/>
        <w:keepLines w:val="0"/>
        <w:pageBreakBefore w:val="0"/>
        <w:widowControl w:val="0"/>
        <w:tabs>
          <w:tab w:val="right" w:leader="dot" w:pos="8306"/>
        </w:tabs>
        <w:kinsoku/>
        <w:wordWrap/>
        <w:overflowPunct/>
        <w:topLinePunct w:val="0"/>
        <w:autoSpaceDE/>
        <w:autoSpaceDN/>
        <w:bidi w:val="0"/>
        <w:adjustRightInd w:val="0"/>
        <w:snapToGrid/>
        <w:spacing w:line="240" w:lineRule="auto"/>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_Toc5755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8.4 不确定性</w:t>
      </w:r>
      <w:r>
        <w:rPr>
          <w:color w:val="auto"/>
        </w:rPr>
        <w:tab/>
      </w:r>
      <w:r>
        <w:rPr>
          <w:color w:val="auto"/>
        </w:rPr>
        <w:fldChar w:fldCharType="begin"/>
      </w:r>
      <w:r>
        <w:rPr>
          <w:color w:val="auto"/>
        </w:rPr>
        <w:instrText xml:space="preserve"> PAGEREF _Toc5755 \h </w:instrText>
      </w:r>
      <w:r>
        <w:rPr>
          <w:color w:val="auto"/>
        </w:rPr>
        <w:fldChar w:fldCharType="separate"/>
      </w:r>
      <w:r>
        <w:rPr>
          <w:color w:val="auto"/>
        </w:rPr>
        <w:t>270</w:t>
      </w:r>
      <w:r>
        <w:rPr>
          <w:color w:val="auto"/>
        </w:rPr>
        <w:fldChar w:fldCharType="end"/>
      </w:r>
      <w:r>
        <w:rPr>
          <w:rFonts w:hint="eastAsia" w:ascii="仿宋" w:hAnsi="仿宋" w:eastAsia="仿宋" w:cs="仿宋"/>
          <w:color w:val="auto"/>
          <w:szCs w:val="24"/>
        </w:rPr>
        <w:fldChar w:fldCharType="end"/>
      </w:r>
    </w:p>
    <w:p w14:paraId="47576082">
      <w:pPr>
        <w:pStyle w:val="7"/>
        <w:keepNext w:val="0"/>
        <w:keepLines w:val="0"/>
        <w:pageBreakBefore w:val="0"/>
        <w:widowControl w:val="0"/>
        <w:tabs>
          <w:tab w:val="right" w:leader="dot" w:pos="8306"/>
        </w:tabs>
        <w:kinsoku/>
        <w:wordWrap/>
        <w:overflowPunct/>
        <w:topLinePunct w:val="0"/>
        <w:autoSpaceDE/>
        <w:autoSpaceDN/>
        <w:bidi w:val="0"/>
        <w:adjustRightInd w:val="0"/>
        <w:snapToGrid/>
        <w:spacing w:line="240" w:lineRule="auto"/>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_Toc14235 </w:instrText>
      </w:r>
      <w:r>
        <w:rPr>
          <w:rFonts w:hint="eastAsia" w:ascii="仿宋" w:hAnsi="仿宋" w:eastAsia="仿宋" w:cs="仿宋"/>
          <w:color w:val="auto"/>
          <w:szCs w:val="24"/>
        </w:rPr>
        <w:fldChar w:fldCharType="separate"/>
      </w:r>
      <w:r>
        <w:rPr>
          <w:rFonts w:hint="eastAsia" w:ascii="仿宋" w:hAnsi="仿宋" w:eastAsia="仿宋" w:cs="仿宋"/>
          <w:bCs w:val="0"/>
          <w:color w:val="auto"/>
          <w:kern w:val="0"/>
          <w:szCs w:val="36"/>
          <w:lang w:val="en-US" w:eastAsia="zh-CN" w:bidi="zh-CN"/>
        </w:rPr>
        <w:t>9  结论和建议</w:t>
      </w:r>
      <w:r>
        <w:rPr>
          <w:color w:val="auto"/>
        </w:rPr>
        <w:tab/>
      </w:r>
      <w:r>
        <w:rPr>
          <w:color w:val="auto"/>
        </w:rPr>
        <w:fldChar w:fldCharType="begin"/>
      </w:r>
      <w:r>
        <w:rPr>
          <w:color w:val="auto"/>
        </w:rPr>
        <w:instrText xml:space="preserve"> PAGEREF _Toc14235 \h </w:instrText>
      </w:r>
      <w:r>
        <w:rPr>
          <w:color w:val="auto"/>
        </w:rPr>
        <w:fldChar w:fldCharType="separate"/>
      </w:r>
      <w:r>
        <w:rPr>
          <w:color w:val="auto"/>
        </w:rPr>
        <w:t>272</w:t>
      </w:r>
      <w:r>
        <w:rPr>
          <w:color w:val="auto"/>
        </w:rPr>
        <w:fldChar w:fldCharType="end"/>
      </w:r>
      <w:r>
        <w:rPr>
          <w:rFonts w:hint="eastAsia" w:ascii="仿宋" w:hAnsi="仿宋" w:eastAsia="仿宋" w:cs="仿宋"/>
          <w:color w:val="auto"/>
          <w:szCs w:val="24"/>
        </w:rPr>
        <w:fldChar w:fldCharType="end"/>
      </w:r>
    </w:p>
    <w:p w14:paraId="6074EAC7">
      <w:pPr>
        <w:pStyle w:val="8"/>
        <w:keepNext w:val="0"/>
        <w:keepLines w:val="0"/>
        <w:pageBreakBefore w:val="0"/>
        <w:widowControl w:val="0"/>
        <w:tabs>
          <w:tab w:val="right" w:leader="dot" w:pos="8306"/>
        </w:tabs>
        <w:kinsoku/>
        <w:wordWrap/>
        <w:overflowPunct/>
        <w:topLinePunct w:val="0"/>
        <w:autoSpaceDE/>
        <w:autoSpaceDN/>
        <w:bidi w:val="0"/>
        <w:adjustRightInd w:val="0"/>
        <w:snapToGrid/>
        <w:spacing w:line="240" w:lineRule="auto"/>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_Toc23389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9.1 结论</w:t>
      </w:r>
      <w:r>
        <w:rPr>
          <w:color w:val="auto"/>
        </w:rPr>
        <w:tab/>
      </w:r>
      <w:r>
        <w:rPr>
          <w:color w:val="auto"/>
        </w:rPr>
        <w:fldChar w:fldCharType="begin"/>
      </w:r>
      <w:r>
        <w:rPr>
          <w:color w:val="auto"/>
        </w:rPr>
        <w:instrText xml:space="preserve"> PAGEREF _Toc23389 \h </w:instrText>
      </w:r>
      <w:r>
        <w:rPr>
          <w:color w:val="auto"/>
        </w:rPr>
        <w:fldChar w:fldCharType="separate"/>
      </w:r>
      <w:r>
        <w:rPr>
          <w:color w:val="auto"/>
        </w:rPr>
        <w:t>272</w:t>
      </w:r>
      <w:r>
        <w:rPr>
          <w:color w:val="auto"/>
        </w:rPr>
        <w:fldChar w:fldCharType="end"/>
      </w:r>
      <w:r>
        <w:rPr>
          <w:rFonts w:hint="eastAsia" w:ascii="仿宋" w:hAnsi="仿宋" w:eastAsia="仿宋" w:cs="仿宋"/>
          <w:color w:val="auto"/>
          <w:szCs w:val="24"/>
        </w:rPr>
        <w:fldChar w:fldCharType="end"/>
      </w:r>
    </w:p>
    <w:p w14:paraId="6210439F">
      <w:pPr>
        <w:pStyle w:val="8"/>
        <w:keepNext w:val="0"/>
        <w:keepLines w:val="0"/>
        <w:pageBreakBefore w:val="0"/>
        <w:widowControl w:val="0"/>
        <w:tabs>
          <w:tab w:val="right" w:leader="dot" w:pos="8306"/>
        </w:tabs>
        <w:kinsoku/>
        <w:wordWrap/>
        <w:overflowPunct/>
        <w:topLinePunct w:val="0"/>
        <w:autoSpaceDE/>
        <w:autoSpaceDN/>
        <w:bidi w:val="0"/>
        <w:adjustRightInd w:val="0"/>
        <w:snapToGrid/>
        <w:spacing w:line="240" w:lineRule="auto"/>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_Toc13220 </w:instrText>
      </w:r>
      <w:r>
        <w:rPr>
          <w:rFonts w:hint="eastAsia" w:ascii="仿宋" w:hAnsi="仿宋" w:eastAsia="仿宋" w:cs="仿宋"/>
          <w:color w:val="auto"/>
          <w:szCs w:val="24"/>
        </w:rPr>
        <w:fldChar w:fldCharType="separate"/>
      </w:r>
      <w:r>
        <w:rPr>
          <w:rFonts w:hint="eastAsia" w:ascii="仿宋" w:hAnsi="仿宋" w:eastAsia="仿宋" w:cs="仿宋"/>
          <w:bCs w:val="0"/>
          <w:color w:val="auto"/>
          <w:szCs w:val="28"/>
          <w:lang w:val="en-US" w:eastAsia="zh-CN"/>
        </w:rPr>
        <w:t>9.2 建议</w:t>
      </w:r>
      <w:r>
        <w:rPr>
          <w:color w:val="auto"/>
        </w:rPr>
        <w:tab/>
      </w:r>
      <w:r>
        <w:rPr>
          <w:color w:val="auto"/>
        </w:rPr>
        <w:fldChar w:fldCharType="begin"/>
      </w:r>
      <w:r>
        <w:rPr>
          <w:color w:val="auto"/>
        </w:rPr>
        <w:instrText xml:space="preserve"> PAGEREF _Toc13220 \h </w:instrText>
      </w:r>
      <w:r>
        <w:rPr>
          <w:color w:val="auto"/>
        </w:rPr>
        <w:fldChar w:fldCharType="separate"/>
      </w:r>
      <w:r>
        <w:rPr>
          <w:color w:val="auto"/>
        </w:rPr>
        <w:t>273</w:t>
      </w:r>
      <w:r>
        <w:rPr>
          <w:color w:val="auto"/>
        </w:rPr>
        <w:fldChar w:fldCharType="end"/>
      </w:r>
      <w:r>
        <w:rPr>
          <w:rFonts w:hint="eastAsia" w:ascii="仿宋" w:hAnsi="仿宋" w:eastAsia="仿宋" w:cs="仿宋"/>
          <w:color w:val="auto"/>
          <w:szCs w:val="24"/>
        </w:rPr>
        <w:fldChar w:fldCharType="end"/>
      </w:r>
    </w:p>
    <w:p w14:paraId="50BA3695">
      <w:pPr>
        <w:pStyle w:val="7"/>
        <w:keepNext w:val="0"/>
        <w:keepLines w:val="0"/>
        <w:pageBreakBefore w:val="0"/>
        <w:widowControl w:val="0"/>
        <w:tabs>
          <w:tab w:val="right" w:leader="dot" w:pos="8306"/>
        </w:tabs>
        <w:kinsoku/>
        <w:wordWrap/>
        <w:overflowPunct/>
        <w:topLinePunct w:val="0"/>
        <w:autoSpaceDE/>
        <w:autoSpaceDN/>
        <w:bidi w:val="0"/>
        <w:adjustRightInd w:val="0"/>
        <w:snapToGrid/>
        <w:spacing w:line="240" w:lineRule="auto"/>
        <w:ind w:firstLine="0" w:firstLineChars="0"/>
        <w:textAlignment w:val="auto"/>
        <w:rPr>
          <w:color w:val="auto"/>
        </w:rPr>
      </w:pPr>
      <w:r>
        <w:rPr>
          <w:rFonts w:hint="eastAsia" w:ascii="仿宋" w:hAnsi="仿宋" w:eastAsia="仿宋" w:cs="仿宋"/>
          <w:color w:val="auto"/>
          <w:szCs w:val="24"/>
        </w:rPr>
        <w:fldChar w:fldCharType="begin"/>
      </w:r>
      <w:r>
        <w:rPr>
          <w:rFonts w:hint="eastAsia" w:ascii="仿宋" w:hAnsi="仿宋" w:eastAsia="仿宋" w:cs="仿宋"/>
          <w:color w:val="auto"/>
          <w:szCs w:val="24"/>
        </w:rPr>
        <w:instrText xml:space="preserve"> HYPERLINK \l _Toc5468 </w:instrText>
      </w:r>
      <w:r>
        <w:rPr>
          <w:rFonts w:hint="eastAsia" w:ascii="仿宋" w:hAnsi="仿宋" w:eastAsia="仿宋" w:cs="仿宋"/>
          <w:color w:val="auto"/>
          <w:szCs w:val="24"/>
        </w:rPr>
        <w:fldChar w:fldCharType="separate"/>
      </w:r>
      <w:r>
        <w:rPr>
          <w:rFonts w:hint="eastAsia" w:ascii="仿宋" w:hAnsi="仿宋" w:eastAsia="仿宋" w:cs="仿宋"/>
          <w:bCs w:val="0"/>
          <w:color w:val="auto"/>
          <w:kern w:val="0"/>
          <w:szCs w:val="36"/>
          <w:lang w:val="en-US" w:eastAsia="zh-CN" w:bidi="zh-CN"/>
        </w:rPr>
        <w:t>10  附件</w:t>
      </w:r>
      <w:r>
        <w:rPr>
          <w:color w:val="auto"/>
        </w:rPr>
        <w:tab/>
      </w:r>
      <w:r>
        <w:rPr>
          <w:color w:val="auto"/>
        </w:rPr>
        <w:fldChar w:fldCharType="begin"/>
      </w:r>
      <w:r>
        <w:rPr>
          <w:color w:val="auto"/>
        </w:rPr>
        <w:instrText xml:space="preserve"> PAGEREF _Toc5468 \h </w:instrText>
      </w:r>
      <w:r>
        <w:rPr>
          <w:color w:val="auto"/>
        </w:rPr>
        <w:fldChar w:fldCharType="separate"/>
      </w:r>
      <w:r>
        <w:rPr>
          <w:color w:val="auto"/>
        </w:rPr>
        <w:t>275</w:t>
      </w:r>
      <w:r>
        <w:rPr>
          <w:color w:val="auto"/>
        </w:rPr>
        <w:fldChar w:fldCharType="end"/>
      </w:r>
      <w:r>
        <w:rPr>
          <w:rFonts w:hint="eastAsia" w:ascii="仿宋" w:hAnsi="仿宋" w:eastAsia="仿宋" w:cs="仿宋"/>
          <w:color w:val="auto"/>
          <w:szCs w:val="24"/>
        </w:rPr>
        <w:fldChar w:fldCharType="end"/>
      </w:r>
    </w:p>
    <w:p w14:paraId="63A8906A">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0" w:firstLineChars="0"/>
        <w:textAlignment w:val="auto"/>
        <w:rPr>
          <w:rFonts w:hint="eastAsia" w:ascii="仿宋" w:hAnsi="仿宋" w:eastAsia="仿宋" w:cs="仿宋"/>
          <w:color w:val="auto"/>
          <w:sz w:val="24"/>
          <w:szCs w:val="24"/>
        </w:rPr>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r>
        <w:rPr>
          <w:rFonts w:hint="eastAsia" w:ascii="仿宋" w:hAnsi="仿宋" w:eastAsia="仿宋" w:cs="仿宋"/>
          <w:color w:val="auto"/>
          <w:szCs w:val="24"/>
        </w:rPr>
        <w:fldChar w:fldCharType="end"/>
      </w:r>
    </w:p>
    <w:p w14:paraId="0CBD6435">
      <w:pPr>
        <w:pStyle w:val="9"/>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textAlignment w:val="auto"/>
        <w:outlineLvl w:val="0"/>
        <w:rPr>
          <w:rFonts w:hint="eastAsia" w:ascii="仿宋" w:hAnsi="仿宋" w:eastAsia="仿宋" w:cs="仿宋"/>
          <w:b/>
          <w:bCs w:val="0"/>
          <w:color w:val="auto"/>
          <w:sz w:val="36"/>
          <w:szCs w:val="36"/>
          <w:lang w:val="en-US" w:eastAsia="zh-CN"/>
        </w:rPr>
      </w:pPr>
      <w:bookmarkStart w:id="18" w:name="_Toc31484"/>
      <w:bookmarkStart w:id="19" w:name="_Toc29571"/>
      <w:bookmarkStart w:id="20" w:name="_Toc26673"/>
      <w:bookmarkStart w:id="21" w:name="_Toc6995"/>
      <w:bookmarkStart w:id="22" w:name="_Toc11125"/>
      <w:r>
        <w:rPr>
          <w:rFonts w:hint="eastAsia" w:ascii="仿宋" w:hAnsi="仿宋" w:eastAsia="仿宋" w:cs="仿宋"/>
          <w:b/>
          <w:bCs w:val="0"/>
          <w:color w:val="auto"/>
          <w:sz w:val="36"/>
          <w:szCs w:val="36"/>
          <w:lang w:val="en-US" w:eastAsia="zh-CN"/>
        </w:rPr>
        <w:t>1  前言</w:t>
      </w:r>
      <w:bookmarkEnd w:id="18"/>
      <w:bookmarkEnd w:id="19"/>
      <w:bookmarkEnd w:id="20"/>
      <w:bookmarkEnd w:id="21"/>
      <w:bookmarkEnd w:id="22"/>
    </w:p>
    <w:p w14:paraId="73468E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原南通岸西化工有限公司地块位于南通通州区十总镇。本地块东至通州东星纸品有限公司，西至池塘，南至骑四线，北至发展路，本次调查地块总占地面积14831 m</w:t>
      </w:r>
      <w:r>
        <w:rPr>
          <w:rFonts w:hint="eastAsia" w:ascii="仿宋" w:hAnsi="仿宋" w:eastAsia="仿宋" w:cs="仿宋"/>
          <w:b w:val="0"/>
          <w:bCs w:val="0"/>
          <w:color w:val="auto"/>
          <w:sz w:val="24"/>
          <w:szCs w:val="32"/>
          <w:vertAlign w:val="superscript"/>
          <w:lang w:val="en-US" w:eastAsia="zh-CN"/>
        </w:rPr>
        <w:t>2</w:t>
      </w:r>
      <w:r>
        <w:rPr>
          <w:rFonts w:hint="eastAsia" w:ascii="仿宋" w:hAnsi="仿宋" w:eastAsia="仿宋" w:cs="仿宋"/>
          <w:b w:val="0"/>
          <w:bCs w:val="0"/>
          <w:color w:val="auto"/>
          <w:sz w:val="24"/>
          <w:szCs w:val="32"/>
          <w:lang w:val="en-US" w:eastAsia="zh-CN"/>
        </w:rPr>
        <w:t>（约22.23亩）。</w:t>
      </w:r>
    </w:p>
    <w:p w14:paraId="026281B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结合卫星影像及人员访谈得知，根据调查情况，地块早期为农田，2003年至2024年地块生产主体一直是南通岸西化工有限公司。该企业1988年于通州市骑岸镇西首处建厂，1993年开始运行，1993年至2004年，主要从事精制荧光增白剂PF的生产；于2003年从通州市骑岸镇西首搬至通州市骑岸镇北首（本次调查地块），并于2004年正式在本次调查地块内生产；2004年至2020年，主要从事荧光增白剂PF精制以及荧光增白剂DT水剂复配的生产；企业于2020年关停，设备于2020年至2023年期间陆续拆除，危废仓库内遗留的物料均安全处置；2024年生产区已拆除完成，目前遗留部分非生产区（传达室、生活区、值班室、机修车间、小试中心）。地块目前为封闭状态，四周围墙均存在，大门均上锁。</w:t>
      </w:r>
    </w:p>
    <w:p w14:paraId="28815DD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根据收集的材料，地块周边500m范围内历史上和现在存在多家企业，大多为机加工、纺织印染型企业，其中距离本次调查地块最近的企业为骑岸污水处理站，据调查，骑岸污水处理站在日常调查土壤和地下水检测、废气季度监测中均未出现超标现象，未受到过行政处罚。</w:t>
      </w:r>
    </w:p>
    <w:p w14:paraId="1096254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本次调查范围内</w:t>
      </w:r>
      <w:r>
        <w:rPr>
          <w:rFonts w:hint="default" w:ascii="仿宋" w:hAnsi="仿宋" w:eastAsia="仿宋" w:cs="仿宋"/>
          <w:b w:val="0"/>
          <w:bCs w:val="0"/>
          <w:color w:val="auto"/>
          <w:sz w:val="24"/>
          <w:szCs w:val="32"/>
          <w:lang w:val="en-US" w:eastAsia="zh-CN"/>
        </w:rPr>
        <w:t>用地性质</w:t>
      </w:r>
      <w:r>
        <w:rPr>
          <w:rFonts w:hint="eastAsia" w:ascii="仿宋" w:hAnsi="仿宋" w:eastAsia="仿宋" w:cs="仿宋"/>
          <w:b w:val="0"/>
          <w:bCs w:val="0"/>
          <w:color w:val="auto"/>
          <w:sz w:val="24"/>
          <w:szCs w:val="32"/>
          <w:lang w:val="en-US" w:eastAsia="zh-CN"/>
        </w:rPr>
        <w:t>主要为工业用地、部分属村集体用地</w:t>
      </w:r>
      <w:r>
        <w:rPr>
          <w:rFonts w:hint="default" w:ascii="仿宋" w:hAnsi="仿宋" w:eastAsia="仿宋" w:cs="仿宋"/>
          <w:b w:val="0"/>
          <w:bCs w:val="0"/>
          <w:color w:val="auto"/>
          <w:sz w:val="24"/>
          <w:szCs w:val="32"/>
          <w:lang w:val="en-US" w:eastAsia="zh-CN"/>
        </w:rPr>
        <w:t>。根据《</w:t>
      </w:r>
      <w:r>
        <w:rPr>
          <w:rFonts w:hint="eastAsia" w:ascii="仿宋" w:hAnsi="仿宋" w:eastAsia="仿宋" w:cs="仿宋"/>
          <w:b w:val="0"/>
          <w:bCs w:val="0"/>
          <w:color w:val="auto"/>
          <w:sz w:val="24"/>
          <w:szCs w:val="32"/>
          <w:lang w:val="en-US" w:eastAsia="zh-CN"/>
        </w:rPr>
        <w:t>南通市通州区十总镇工业集中区开发建设规划（2023-2035年）环境影响报告书</w:t>
      </w:r>
      <w:r>
        <w:rPr>
          <w:rFonts w:hint="default" w:ascii="仿宋" w:hAnsi="仿宋" w:eastAsia="仿宋" w:cs="仿宋"/>
          <w:b w:val="0"/>
          <w:bCs w:val="0"/>
          <w:color w:val="auto"/>
          <w:sz w:val="24"/>
          <w:szCs w:val="32"/>
          <w:lang w:val="en-US" w:eastAsia="zh-CN"/>
        </w:rPr>
        <w:t>》，该地块未来规划为</w:t>
      </w:r>
      <w:r>
        <w:rPr>
          <w:rFonts w:hint="eastAsia" w:ascii="仿宋" w:hAnsi="仿宋" w:eastAsia="仿宋" w:cs="仿宋"/>
          <w:b w:val="0"/>
          <w:bCs w:val="0"/>
          <w:color w:val="auto"/>
          <w:sz w:val="24"/>
          <w:szCs w:val="32"/>
          <w:lang w:val="en-US" w:eastAsia="zh-CN"/>
        </w:rPr>
        <w:t>工业用地和公用设施用地，因此本次调查评价标准按</w:t>
      </w:r>
      <w:r>
        <w:rPr>
          <w:rFonts w:hint="default" w:ascii="仿宋" w:hAnsi="仿宋" w:eastAsia="仿宋" w:cs="仿宋"/>
          <w:b w:val="0"/>
          <w:bCs w:val="0"/>
          <w:color w:val="auto"/>
          <w:sz w:val="24"/>
          <w:szCs w:val="32"/>
          <w:lang w:val="en-US" w:eastAsia="zh-CN"/>
        </w:rPr>
        <w:t>《土壤环境质量 建设用地土壤污染风险管控标准（试行）》（GB36600-2018）</w:t>
      </w:r>
      <w:r>
        <w:rPr>
          <w:rFonts w:hint="eastAsia" w:ascii="仿宋" w:hAnsi="仿宋" w:eastAsia="仿宋" w:cs="仿宋"/>
          <w:b w:val="0"/>
          <w:bCs w:val="0"/>
          <w:color w:val="auto"/>
          <w:sz w:val="24"/>
          <w:szCs w:val="32"/>
          <w:lang w:val="en-US" w:eastAsia="zh-CN"/>
        </w:rPr>
        <w:t>中第二类用地评价标准进行评价。</w:t>
      </w:r>
    </w:p>
    <w:p w14:paraId="4396861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通州区产业结构调整，一批化工、电镀等土壤污染重点行业企业逐步关闭退出，根据南通市通州生态环境局于2024年1月3日发布的《关于原南通岸西化工有限公司地块后续土壤污染防治工作的通知》（通州环〔2024]1号），为及时发现企业在生产经营活动中可能造成的土壤和地下水污染，防止后期开发利用时土壤和地下水污染影响人民群众身体健康，原南通岸西化工有限公司地块应于建（构）筑物完全拆除后立即开展土壤污染状况补充调查，进一步明确土壤和地下水环境污染状况。南通岸西化工有限公司现已将地块出让给南通江润新能源科技有限公司，并于2024年取得土地证，现南通江润新能源科技有限公司准备利用本地块进行生产活动，因此，南通江润新能源科技有限公司委托江苏标普检测科技有限公司对原南通岸西化工有限公司地块土壤污染状况进行调查。本次调查采样针对整个南通岸西化工有限公司，调查总面积为14831</w:t>
      </w:r>
      <w:r>
        <w:rPr>
          <w:rFonts w:hint="default" w:ascii="仿宋" w:hAnsi="仿宋" w:eastAsia="仿宋" w:cs="仿宋"/>
          <w:b w:val="0"/>
          <w:bCs w:val="0"/>
          <w:color w:val="auto"/>
          <w:sz w:val="24"/>
          <w:szCs w:val="32"/>
          <w:lang w:val="en-US" w:eastAsia="zh-CN"/>
        </w:rPr>
        <w:t>m</w:t>
      </w:r>
      <w:r>
        <w:rPr>
          <w:rFonts w:hint="default" w:ascii="仿宋" w:hAnsi="仿宋" w:eastAsia="仿宋" w:cs="仿宋"/>
          <w:b w:val="0"/>
          <w:bCs w:val="0"/>
          <w:color w:val="auto"/>
          <w:sz w:val="24"/>
          <w:szCs w:val="32"/>
          <w:vertAlign w:val="superscript"/>
          <w:lang w:val="en-US" w:eastAsia="zh-CN"/>
        </w:rPr>
        <w:t>2</w:t>
      </w:r>
      <w:r>
        <w:rPr>
          <w:rFonts w:hint="eastAsia" w:ascii="仿宋" w:hAnsi="仿宋" w:eastAsia="仿宋" w:cs="仿宋"/>
          <w:b w:val="0"/>
          <w:bCs w:val="0"/>
          <w:color w:val="auto"/>
          <w:sz w:val="24"/>
          <w:szCs w:val="32"/>
          <w:lang w:val="en-US" w:eastAsia="zh-CN"/>
        </w:rPr>
        <w:t>，并且针对前两次土壤污染现状调查部分超标点位进行了原点位复测。</w:t>
      </w:r>
    </w:p>
    <w:p w14:paraId="5AC1B24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lang w:val="en-US" w:eastAsia="zh-CN"/>
        </w:rPr>
        <w:sectPr>
          <w:headerReference r:id="rId10" w:type="default"/>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ascii="仿宋" w:hAnsi="仿宋" w:eastAsia="仿宋" w:cs="仿宋"/>
          <w:color w:val="auto"/>
          <w:sz w:val="24"/>
          <w:szCs w:val="24"/>
          <w:lang w:val="en-US" w:eastAsia="zh-CN"/>
        </w:rPr>
        <w:t>因此，南通江润新能源科技有限公司委托江苏标普检测科技有限公司开展本地块土壤污染状况调查工作。针对原南通岸西化工有限公司地块，江苏标普检测科技有限公司于2023年3月组织专业技术人员对其进行了现场踏勘，收集了地块内与地块土壤污染状况调查相关的资料，确定了调查地块的土壤和地下水监测采样点位，并委托江苏格林勒斯检测科技有限公司于2024年5月29日开始进行地块土壤和地下水点位的现场采样，出具土壤、地下水和地表水检测报告。我公司综合分析了土壤、地下水点位监测因子种类及浓度，并在此基础上编制了《原南通岸西化工有限公司地块土壤污染状况调查报告》。</w:t>
      </w:r>
    </w:p>
    <w:p w14:paraId="48387C10">
      <w:pPr>
        <w:pStyle w:val="9"/>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textAlignment w:val="auto"/>
        <w:outlineLvl w:val="0"/>
        <w:rPr>
          <w:rFonts w:hint="eastAsia" w:ascii="仿宋" w:hAnsi="仿宋" w:eastAsia="仿宋" w:cs="仿宋"/>
          <w:b/>
          <w:bCs w:val="0"/>
          <w:color w:val="auto"/>
          <w:sz w:val="36"/>
          <w:szCs w:val="36"/>
          <w:lang w:val="en-US" w:eastAsia="zh-CN"/>
        </w:rPr>
      </w:pPr>
      <w:bookmarkStart w:id="23" w:name="_Toc4878"/>
      <w:bookmarkStart w:id="24" w:name="_Toc4694"/>
      <w:bookmarkStart w:id="25" w:name="_Toc29121"/>
      <w:bookmarkStart w:id="26" w:name="_Toc5395"/>
      <w:bookmarkStart w:id="27" w:name="_Toc25521"/>
      <w:r>
        <w:rPr>
          <w:rFonts w:hint="eastAsia" w:ascii="仿宋" w:hAnsi="仿宋" w:eastAsia="仿宋" w:cs="仿宋"/>
          <w:b/>
          <w:bCs w:val="0"/>
          <w:color w:val="auto"/>
          <w:sz w:val="36"/>
          <w:szCs w:val="36"/>
          <w:lang w:val="en-US" w:eastAsia="zh-CN"/>
        </w:rPr>
        <w:t>2  概述</w:t>
      </w:r>
      <w:bookmarkEnd w:id="23"/>
      <w:bookmarkEnd w:id="24"/>
      <w:bookmarkEnd w:id="25"/>
      <w:bookmarkEnd w:id="26"/>
      <w:bookmarkEnd w:id="27"/>
    </w:p>
    <w:p w14:paraId="5A09B42B">
      <w:pPr>
        <w:pStyle w:val="2"/>
        <w:keepNext w:val="0"/>
        <w:keepLines w:val="0"/>
        <w:pageBreakBefore w:val="0"/>
        <w:kinsoku/>
        <w:wordWrap/>
        <w:overflowPunct/>
        <w:topLinePunct w:val="0"/>
        <w:bidi w:val="0"/>
        <w:spacing w:after="0" w:afterLines="0"/>
        <w:ind w:left="0" w:leftChars="0" w:firstLine="0" w:firstLineChars="0"/>
        <w:textAlignment w:val="auto"/>
        <w:outlineLvl w:val="1"/>
        <w:rPr>
          <w:rFonts w:hint="eastAsia" w:ascii="仿宋" w:hAnsi="仿宋" w:eastAsia="仿宋" w:cs="仿宋"/>
          <w:b/>
          <w:bCs/>
          <w:color w:val="auto"/>
          <w:sz w:val="28"/>
          <w:szCs w:val="21"/>
          <w:lang w:val="en-US" w:eastAsia="zh-CN"/>
        </w:rPr>
      </w:pPr>
      <w:bookmarkStart w:id="28" w:name="_Toc22724"/>
      <w:bookmarkStart w:id="29" w:name="_Toc5700"/>
      <w:bookmarkStart w:id="30" w:name="_Toc4060"/>
      <w:bookmarkStart w:id="31" w:name="_Toc30249"/>
      <w:r>
        <w:rPr>
          <w:rFonts w:hint="eastAsia" w:ascii="仿宋" w:hAnsi="仿宋" w:eastAsia="仿宋" w:cs="仿宋"/>
          <w:b/>
          <w:bCs/>
          <w:color w:val="auto"/>
          <w:sz w:val="28"/>
          <w:szCs w:val="21"/>
          <w:lang w:val="en-US" w:eastAsia="zh-CN"/>
        </w:rPr>
        <w:t>2.1  调查目的和原则</w:t>
      </w:r>
      <w:bookmarkEnd w:id="28"/>
      <w:bookmarkEnd w:id="29"/>
      <w:bookmarkEnd w:id="30"/>
      <w:bookmarkEnd w:id="31"/>
    </w:p>
    <w:p w14:paraId="731FF47D">
      <w:pPr>
        <w:pStyle w:val="2"/>
        <w:keepNext w:val="0"/>
        <w:keepLines w:val="0"/>
        <w:pageBreakBefore w:val="0"/>
        <w:kinsoku/>
        <w:wordWrap/>
        <w:overflowPunct/>
        <w:topLinePunct w:val="0"/>
        <w:bidi w:val="0"/>
        <w:spacing w:after="0" w:afterLines="0"/>
        <w:ind w:left="0" w:leftChars="0" w:firstLine="0" w:firstLineChars="0"/>
        <w:textAlignment w:val="auto"/>
        <w:outlineLvl w:val="1"/>
        <w:rPr>
          <w:rFonts w:hint="eastAsia" w:ascii="仿宋" w:hAnsi="仿宋" w:eastAsia="仿宋" w:cs="仿宋"/>
          <w:b/>
          <w:bCs/>
          <w:color w:val="auto"/>
          <w:sz w:val="28"/>
          <w:szCs w:val="21"/>
          <w:lang w:val="en-US" w:eastAsia="zh-CN"/>
        </w:rPr>
      </w:pPr>
      <w:bookmarkStart w:id="32" w:name="_Toc23409"/>
      <w:bookmarkStart w:id="33" w:name="_Toc25393"/>
      <w:bookmarkStart w:id="34" w:name="_Toc68"/>
      <w:bookmarkStart w:id="35" w:name="_Toc10198"/>
      <w:bookmarkStart w:id="36" w:name="_Toc6932"/>
      <w:bookmarkStart w:id="37" w:name="_Toc25636"/>
      <w:bookmarkStart w:id="38" w:name="_Toc11616"/>
      <w:bookmarkStart w:id="39" w:name="_Toc5891"/>
      <w:bookmarkStart w:id="40" w:name="_Toc28064"/>
      <w:bookmarkStart w:id="41" w:name="_Toc1252"/>
      <w:bookmarkStart w:id="42" w:name="_Toc13960"/>
      <w:r>
        <w:rPr>
          <w:rFonts w:hint="eastAsia" w:ascii="仿宋" w:hAnsi="仿宋" w:eastAsia="仿宋" w:cs="仿宋"/>
          <w:b/>
          <w:bCs/>
          <w:color w:val="auto"/>
          <w:sz w:val="28"/>
          <w:szCs w:val="21"/>
          <w:lang w:val="en-US" w:eastAsia="zh-CN"/>
        </w:rPr>
        <w:t>2.2  调查范围</w:t>
      </w:r>
      <w:bookmarkEnd w:id="32"/>
      <w:bookmarkEnd w:id="33"/>
      <w:bookmarkEnd w:id="34"/>
      <w:bookmarkEnd w:id="35"/>
      <w:bookmarkEnd w:id="36"/>
      <w:bookmarkEnd w:id="37"/>
      <w:bookmarkEnd w:id="38"/>
      <w:bookmarkEnd w:id="39"/>
      <w:bookmarkEnd w:id="40"/>
    </w:p>
    <w:p w14:paraId="250E50C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default"/>
          <w:color w:val="auto"/>
          <w:lang w:val="en-US"/>
        </w:rPr>
      </w:pPr>
      <w:r>
        <w:rPr>
          <w:rFonts w:hint="eastAsia" w:ascii="仿宋" w:hAnsi="仿宋" w:eastAsia="仿宋" w:cs="仿宋"/>
          <w:b w:val="0"/>
          <w:bCs w:val="0"/>
          <w:color w:val="auto"/>
          <w:sz w:val="24"/>
          <w:szCs w:val="32"/>
          <w:lang w:val="en-US" w:eastAsia="zh-CN"/>
        </w:rPr>
        <w:t>原南通岸西化工有限公司地块</w:t>
      </w:r>
      <w:r>
        <w:rPr>
          <w:rFonts w:hint="default" w:ascii="仿宋" w:hAnsi="仿宋" w:eastAsia="仿宋" w:cs="仿宋"/>
          <w:b w:val="0"/>
          <w:bCs w:val="0"/>
          <w:color w:val="auto"/>
          <w:sz w:val="24"/>
          <w:szCs w:val="32"/>
          <w:lang w:val="en-US" w:eastAsia="zh-CN"/>
        </w:rPr>
        <w:t>位于南通通州区十总镇。</w:t>
      </w:r>
      <w:r>
        <w:rPr>
          <w:rFonts w:hint="eastAsia" w:ascii="仿宋" w:hAnsi="仿宋" w:eastAsia="仿宋" w:cs="仿宋"/>
          <w:b w:val="0"/>
          <w:bCs w:val="0"/>
          <w:color w:val="auto"/>
          <w:sz w:val="24"/>
          <w:szCs w:val="32"/>
          <w:lang w:val="en-US" w:eastAsia="zh-CN"/>
        </w:rPr>
        <w:t>根据现土地使用权人南通江润新能源科技有限公司土地证宗地图，并结合通州生态环境局建议土壤污染状况调查应调查原南通岸西化工有限公司在产时占有的所有区域，因此保证原南通岸西化工有限公司用地调查的完整性，</w:t>
      </w:r>
      <w:r>
        <w:rPr>
          <w:rFonts w:hint="eastAsia" w:ascii="仿宋" w:hAnsi="仿宋" w:eastAsia="仿宋" w:cs="仿宋"/>
          <w:b/>
          <w:bCs/>
          <w:color w:val="auto"/>
          <w:sz w:val="24"/>
          <w:szCs w:val="32"/>
          <w:lang w:val="en-US" w:eastAsia="zh-CN"/>
        </w:rPr>
        <w:t>制定了本次调查地块范围（不含骑岸镇污水处理厂），</w:t>
      </w:r>
      <w:r>
        <w:rPr>
          <w:rFonts w:hint="default" w:ascii="仿宋" w:hAnsi="仿宋" w:eastAsia="仿宋" w:cs="仿宋"/>
          <w:b w:val="0"/>
          <w:bCs w:val="0"/>
          <w:color w:val="auto"/>
          <w:sz w:val="24"/>
          <w:szCs w:val="32"/>
          <w:lang w:val="en-US" w:eastAsia="zh-CN"/>
        </w:rPr>
        <w:t>本次调查地块总占地面积</w:t>
      </w:r>
      <w:r>
        <w:rPr>
          <w:rFonts w:hint="eastAsia" w:ascii="仿宋" w:hAnsi="仿宋" w:eastAsia="仿宋" w:cs="仿宋"/>
          <w:b w:val="0"/>
          <w:bCs w:val="0"/>
          <w:color w:val="auto"/>
          <w:sz w:val="24"/>
          <w:szCs w:val="32"/>
          <w:lang w:val="en-US" w:eastAsia="zh-CN"/>
        </w:rPr>
        <w:t>14831</w:t>
      </w:r>
      <w:r>
        <w:rPr>
          <w:rFonts w:hint="default" w:ascii="仿宋" w:hAnsi="仿宋" w:eastAsia="仿宋" w:cs="仿宋"/>
          <w:b w:val="0"/>
          <w:bCs w:val="0"/>
          <w:color w:val="auto"/>
          <w:sz w:val="24"/>
          <w:szCs w:val="32"/>
          <w:lang w:val="en-US" w:eastAsia="zh-CN"/>
        </w:rPr>
        <w:t>m</w:t>
      </w:r>
      <w:r>
        <w:rPr>
          <w:rFonts w:hint="default" w:ascii="仿宋" w:hAnsi="仿宋" w:eastAsia="仿宋" w:cs="仿宋"/>
          <w:b w:val="0"/>
          <w:bCs w:val="0"/>
          <w:color w:val="auto"/>
          <w:sz w:val="24"/>
          <w:szCs w:val="32"/>
          <w:vertAlign w:val="superscript"/>
          <w:lang w:val="en-US" w:eastAsia="zh-CN"/>
        </w:rPr>
        <w:t>2</w:t>
      </w:r>
      <w:r>
        <w:rPr>
          <w:rFonts w:hint="default" w:ascii="仿宋" w:hAnsi="仿宋" w:eastAsia="仿宋" w:cs="仿宋"/>
          <w:b w:val="0"/>
          <w:bCs w:val="0"/>
          <w:color w:val="auto"/>
          <w:sz w:val="24"/>
          <w:szCs w:val="32"/>
          <w:lang w:val="en-US" w:eastAsia="zh-CN"/>
        </w:rPr>
        <w:t>（约</w:t>
      </w:r>
      <w:r>
        <w:rPr>
          <w:rFonts w:hint="eastAsia" w:ascii="仿宋" w:hAnsi="仿宋" w:eastAsia="仿宋" w:cs="仿宋"/>
          <w:b w:val="0"/>
          <w:bCs w:val="0"/>
          <w:color w:val="auto"/>
          <w:sz w:val="24"/>
          <w:szCs w:val="32"/>
          <w:lang w:val="en-US" w:eastAsia="zh-CN"/>
        </w:rPr>
        <w:t>22.3</w:t>
      </w:r>
      <w:r>
        <w:rPr>
          <w:rFonts w:hint="default" w:ascii="仿宋" w:hAnsi="仿宋" w:eastAsia="仿宋" w:cs="仿宋"/>
          <w:b w:val="0"/>
          <w:bCs w:val="0"/>
          <w:color w:val="auto"/>
          <w:sz w:val="24"/>
          <w:szCs w:val="32"/>
          <w:lang w:val="en-US" w:eastAsia="zh-CN"/>
        </w:rPr>
        <w:t>亩）</w:t>
      </w:r>
      <w:r>
        <w:rPr>
          <w:rFonts w:hint="eastAsia" w:ascii="仿宋" w:hAnsi="仿宋" w:eastAsia="仿宋" w:cs="仿宋"/>
          <w:b w:val="0"/>
          <w:bCs w:val="0"/>
          <w:color w:val="auto"/>
          <w:sz w:val="24"/>
          <w:szCs w:val="32"/>
          <w:lang w:val="en-US" w:eastAsia="zh-CN"/>
        </w:rPr>
        <w:t>，调查范围如图所示。</w:t>
      </w:r>
    </w:p>
    <w:p w14:paraId="2F1A055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eastAsia="宋体"/>
          <w:color w:val="auto"/>
          <w:lang w:eastAsia="zh-CN"/>
        </w:rPr>
      </w:pPr>
      <w:r>
        <w:rPr>
          <w:color w:val="auto"/>
        </w:rPr>
        <w:drawing>
          <wp:inline distT="0" distB="0" distL="114300" distR="114300">
            <wp:extent cx="5270500" cy="2644775"/>
            <wp:effectExtent l="0" t="0" r="6350" b="3175"/>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pic:cNvPicPr>
                      <a:picLocks noChangeAspect="1"/>
                    </pic:cNvPicPr>
                  </pic:nvPicPr>
                  <pic:blipFill>
                    <a:blip r:embed="rId14"/>
                    <a:stretch>
                      <a:fillRect/>
                    </a:stretch>
                  </pic:blipFill>
                  <pic:spPr>
                    <a:xfrm>
                      <a:off x="0" y="0"/>
                      <a:ext cx="5270500" cy="2644775"/>
                    </a:xfrm>
                    <a:prstGeom prst="rect">
                      <a:avLst/>
                    </a:prstGeom>
                    <a:noFill/>
                    <a:ln>
                      <a:noFill/>
                    </a:ln>
                  </pic:spPr>
                </pic:pic>
              </a:graphicData>
            </a:graphic>
          </wp:inline>
        </w:drawing>
      </w:r>
    </w:p>
    <w:p w14:paraId="4FF0DF8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b/>
          <w:bCs/>
          <w:color w:val="auto"/>
          <w:sz w:val="24"/>
          <w:szCs w:val="32"/>
          <w:lang w:val="en-US" w:eastAsia="zh-CN"/>
        </w:rPr>
      </w:pPr>
      <w:r>
        <w:rPr>
          <w:rFonts w:hint="eastAsia" w:ascii="仿宋" w:hAnsi="仿宋" w:eastAsia="仿宋" w:cs="仿宋"/>
          <w:b/>
          <w:bCs/>
          <w:color w:val="auto"/>
          <w:sz w:val="24"/>
          <w:szCs w:val="32"/>
          <w:lang w:val="en-US" w:eastAsia="zh-CN"/>
        </w:rPr>
        <w:t>图2.2-1  本次调查范围拐点图（不含骑岸镇污水处理厂）</w:t>
      </w:r>
    </w:p>
    <w:p w14:paraId="716D0C8C">
      <w:pPr>
        <w:bidi w:val="0"/>
        <w:spacing w:line="240" w:lineRule="auto"/>
        <w:ind w:firstLine="0" w:firstLineChars="0"/>
        <w:jc w:val="center"/>
        <w:rPr>
          <w:rFonts w:ascii="Calibri" w:hAnsi="Calibri" w:cs="Times New Roman"/>
          <w:color w:val="auto"/>
          <w:sz w:val="21"/>
          <w:szCs w:val="24"/>
        </w:rPr>
      </w:pPr>
      <w:r>
        <w:rPr>
          <w:rFonts w:hint="eastAsia" w:ascii="仿宋" w:hAnsi="仿宋" w:eastAsia="仿宋" w:cs="仿宋"/>
          <w:b w:val="0"/>
          <w:bCs w:val="0"/>
          <w:color w:val="auto"/>
          <w:sz w:val="24"/>
          <w:szCs w:val="32"/>
          <w:lang w:val="en-US" w:eastAsia="zh-CN"/>
        </w:rPr>
        <w:drawing>
          <wp:inline distT="0" distB="0" distL="114300" distR="114300">
            <wp:extent cx="2729865" cy="5253355"/>
            <wp:effectExtent l="0" t="0" r="4445" b="13335"/>
            <wp:docPr id="45" name="图片 14" descr="b1bbda5df131907c1559385692f2f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 descr="b1bbda5df131907c1559385692f2f38"/>
                    <pic:cNvPicPr>
                      <a:picLocks noChangeAspect="1"/>
                    </pic:cNvPicPr>
                  </pic:nvPicPr>
                  <pic:blipFill>
                    <a:blip r:embed="rId15"/>
                    <a:srcRect l="7608"/>
                    <a:stretch>
                      <a:fillRect/>
                    </a:stretch>
                  </pic:blipFill>
                  <pic:spPr>
                    <a:xfrm rot="-5400000">
                      <a:off x="0" y="0"/>
                      <a:ext cx="2729865" cy="5253355"/>
                    </a:xfrm>
                    <a:prstGeom prst="rect">
                      <a:avLst/>
                    </a:prstGeom>
                    <a:noFill/>
                    <a:ln>
                      <a:noFill/>
                    </a:ln>
                  </pic:spPr>
                </pic:pic>
              </a:graphicData>
            </a:graphic>
          </wp:inline>
        </w:drawing>
      </w:r>
    </w:p>
    <w:p w14:paraId="1C926A9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仿宋" w:hAnsi="仿宋" w:eastAsia="仿宋" w:cs="仿宋"/>
          <w:b/>
          <w:bCs/>
          <w:color w:val="auto"/>
          <w:lang w:val="en-US" w:eastAsia="zh-CN"/>
        </w:rPr>
      </w:pPr>
      <w:r>
        <w:rPr>
          <w:rFonts w:hint="eastAsia" w:ascii="仿宋" w:hAnsi="仿宋" w:eastAsia="仿宋" w:cs="仿宋"/>
          <w:b/>
          <w:bCs/>
          <w:color w:val="auto"/>
          <w:lang w:val="en-US" w:eastAsia="zh-CN"/>
        </w:rPr>
        <w:t>图2.2-2  规划建设意向图（含地块编号）</w:t>
      </w:r>
    </w:p>
    <w:p w14:paraId="0355C43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default"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本报告中所有点位坐标均采用 CGCS2000 坐标系，本次调查地块的拐点坐标如下表2.2-1所示，其中骑岸污水处理厂的拐点坐标见表2.2-2。</w:t>
      </w:r>
    </w:p>
    <w:p w14:paraId="398B379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表2.2-1  调查范围拐点坐标</w:t>
      </w:r>
    </w:p>
    <w:tbl>
      <w:tblPr>
        <w:tblStyle w:val="1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84"/>
        <w:gridCol w:w="3453"/>
        <w:gridCol w:w="3382"/>
      </w:tblGrid>
      <w:tr w14:paraId="28DB7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88" w:type="pct"/>
            <w:tcBorders>
              <w:top w:val="single" w:color="000000" w:sz="4" w:space="0"/>
              <w:left w:val="single" w:color="000000" w:sz="4" w:space="0"/>
              <w:bottom w:val="single" w:color="auto" w:sz="4" w:space="0"/>
              <w:right w:val="single" w:color="000000" w:sz="4" w:space="0"/>
            </w:tcBorders>
            <w:noWrap/>
            <w:vAlign w:val="center"/>
          </w:tcPr>
          <w:p w14:paraId="37E89B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点位</w:t>
            </w:r>
          </w:p>
        </w:tc>
        <w:tc>
          <w:tcPr>
            <w:tcW w:w="2026" w:type="pct"/>
            <w:tcBorders>
              <w:top w:val="single" w:color="000000" w:sz="4" w:space="0"/>
              <w:left w:val="single" w:color="000000" w:sz="4" w:space="0"/>
              <w:bottom w:val="single" w:color="auto" w:sz="4" w:space="0"/>
              <w:right w:val="single" w:color="000000" w:sz="4" w:space="0"/>
            </w:tcBorders>
            <w:noWrap/>
            <w:vAlign w:val="center"/>
          </w:tcPr>
          <w:p w14:paraId="3F99DB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X</w:t>
            </w:r>
          </w:p>
        </w:tc>
        <w:tc>
          <w:tcPr>
            <w:tcW w:w="1984" w:type="pct"/>
            <w:tcBorders>
              <w:top w:val="single" w:color="000000" w:sz="4" w:space="0"/>
              <w:left w:val="single" w:color="000000" w:sz="4" w:space="0"/>
              <w:bottom w:val="single" w:color="auto" w:sz="4" w:space="0"/>
              <w:right w:val="single" w:color="000000" w:sz="4" w:space="0"/>
            </w:tcBorders>
            <w:noWrap/>
            <w:vAlign w:val="center"/>
          </w:tcPr>
          <w:p w14:paraId="694F26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Y</w:t>
            </w:r>
          </w:p>
        </w:tc>
      </w:tr>
      <w:tr w14:paraId="08BC5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8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256CC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GD1</w:t>
            </w:r>
          </w:p>
        </w:tc>
        <w:tc>
          <w:tcPr>
            <w:tcW w:w="202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E978F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3562782.024</w:t>
            </w:r>
          </w:p>
        </w:tc>
        <w:tc>
          <w:tcPr>
            <w:tcW w:w="198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57AD4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40598842.245</w:t>
            </w:r>
          </w:p>
        </w:tc>
      </w:tr>
      <w:tr w14:paraId="4DD58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8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781CB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GD2</w:t>
            </w:r>
          </w:p>
        </w:tc>
        <w:tc>
          <w:tcPr>
            <w:tcW w:w="202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54CA2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3562796.478</w:t>
            </w:r>
          </w:p>
        </w:tc>
        <w:tc>
          <w:tcPr>
            <w:tcW w:w="198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BFE43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40599043.226</w:t>
            </w:r>
          </w:p>
        </w:tc>
      </w:tr>
      <w:tr w14:paraId="2133B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8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A8979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GD3</w:t>
            </w:r>
          </w:p>
        </w:tc>
        <w:tc>
          <w:tcPr>
            <w:tcW w:w="202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68FF6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3562699.301</w:t>
            </w:r>
          </w:p>
        </w:tc>
        <w:tc>
          <w:tcPr>
            <w:tcW w:w="198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2C9A7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40599053.283</w:t>
            </w:r>
          </w:p>
        </w:tc>
      </w:tr>
      <w:tr w14:paraId="3A1CA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8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B8941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GD4</w:t>
            </w:r>
          </w:p>
        </w:tc>
        <w:tc>
          <w:tcPr>
            <w:tcW w:w="202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DC6DF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3562707.483</w:t>
            </w:r>
          </w:p>
        </w:tc>
        <w:tc>
          <w:tcPr>
            <w:tcW w:w="198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3F2E3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40598977.307</w:t>
            </w:r>
          </w:p>
        </w:tc>
      </w:tr>
      <w:tr w14:paraId="10494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85271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GD5</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ED800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3562708.767</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9BE0C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40598925.938</w:t>
            </w:r>
          </w:p>
        </w:tc>
      </w:tr>
      <w:tr w14:paraId="0A3E9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570F6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GD6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2F853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3562718.322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6E41E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40598838.059</w:t>
            </w:r>
          </w:p>
        </w:tc>
      </w:tr>
    </w:tbl>
    <w:p w14:paraId="38ECFBB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表2.2-2  骑岸污水处理厂的拐点坐标</w:t>
      </w:r>
    </w:p>
    <w:tbl>
      <w:tblPr>
        <w:tblStyle w:val="1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84"/>
        <w:gridCol w:w="3453"/>
        <w:gridCol w:w="3382"/>
      </w:tblGrid>
      <w:tr w14:paraId="1BCD5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88" w:type="pct"/>
            <w:tcBorders>
              <w:top w:val="single" w:color="000000" w:sz="4" w:space="0"/>
              <w:left w:val="single" w:color="000000" w:sz="4" w:space="0"/>
              <w:bottom w:val="single" w:color="auto" w:sz="4" w:space="0"/>
              <w:right w:val="single" w:color="000000" w:sz="4" w:space="0"/>
            </w:tcBorders>
            <w:noWrap/>
            <w:vAlign w:val="center"/>
          </w:tcPr>
          <w:p w14:paraId="0F7C09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点位</w:t>
            </w:r>
          </w:p>
        </w:tc>
        <w:tc>
          <w:tcPr>
            <w:tcW w:w="2026" w:type="pct"/>
            <w:tcBorders>
              <w:top w:val="single" w:color="000000" w:sz="4" w:space="0"/>
              <w:left w:val="single" w:color="000000" w:sz="4" w:space="0"/>
              <w:bottom w:val="single" w:color="auto" w:sz="4" w:space="0"/>
              <w:right w:val="single" w:color="000000" w:sz="4" w:space="0"/>
            </w:tcBorders>
            <w:noWrap/>
            <w:vAlign w:val="center"/>
          </w:tcPr>
          <w:p w14:paraId="64213D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X</w:t>
            </w:r>
          </w:p>
        </w:tc>
        <w:tc>
          <w:tcPr>
            <w:tcW w:w="1984" w:type="pct"/>
            <w:tcBorders>
              <w:top w:val="single" w:color="000000" w:sz="4" w:space="0"/>
              <w:left w:val="single" w:color="000000" w:sz="4" w:space="0"/>
              <w:bottom w:val="single" w:color="auto" w:sz="4" w:space="0"/>
              <w:right w:val="single" w:color="000000" w:sz="4" w:space="0"/>
            </w:tcBorders>
            <w:noWrap/>
            <w:vAlign w:val="center"/>
          </w:tcPr>
          <w:p w14:paraId="280564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Y</w:t>
            </w:r>
          </w:p>
        </w:tc>
      </w:tr>
      <w:tr w14:paraId="493F6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8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B53A6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WS1</w:t>
            </w:r>
          </w:p>
        </w:tc>
        <w:tc>
          <w:tcPr>
            <w:tcW w:w="202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C4470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3562875.857</w:t>
            </w:r>
          </w:p>
        </w:tc>
        <w:tc>
          <w:tcPr>
            <w:tcW w:w="198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B7480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40598254.875</w:t>
            </w:r>
          </w:p>
        </w:tc>
      </w:tr>
      <w:tr w14:paraId="6B121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8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7C9C7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WS2</w:t>
            </w:r>
          </w:p>
        </w:tc>
        <w:tc>
          <w:tcPr>
            <w:tcW w:w="202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8ADB4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3562797.452</w:t>
            </w:r>
          </w:p>
        </w:tc>
        <w:tc>
          <w:tcPr>
            <w:tcW w:w="198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E1B43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40599046.785</w:t>
            </w:r>
          </w:p>
        </w:tc>
      </w:tr>
      <w:tr w14:paraId="081C8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8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97EF3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WS3</w:t>
            </w:r>
          </w:p>
        </w:tc>
        <w:tc>
          <w:tcPr>
            <w:tcW w:w="202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1D0AC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3562698.942</w:t>
            </w:r>
          </w:p>
        </w:tc>
        <w:tc>
          <w:tcPr>
            <w:tcW w:w="198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E9A92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40599052.748</w:t>
            </w:r>
          </w:p>
        </w:tc>
      </w:tr>
      <w:tr w14:paraId="65AED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8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D557A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WS4</w:t>
            </w:r>
          </w:p>
        </w:tc>
        <w:tc>
          <w:tcPr>
            <w:tcW w:w="202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3BF7B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3562856.452</w:t>
            </w:r>
          </w:p>
        </w:tc>
        <w:tc>
          <w:tcPr>
            <w:tcW w:w="198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B60D4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40598687.642</w:t>
            </w:r>
          </w:p>
        </w:tc>
      </w:tr>
    </w:tbl>
    <w:p w14:paraId="76142C18">
      <w:pPr>
        <w:ind w:left="0" w:leftChars="0" w:firstLine="0" w:firstLineChars="0"/>
        <w:rPr>
          <w:rFonts w:hint="eastAsia" w:ascii="仿宋" w:hAnsi="仿宋" w:eastAsia="仿宋" w:cs="仿宋"/>
          <w:color w:val="auto"/>
          <w:lang w:val="en-US" w:eastAsia="zh-CN"/>
        </w:rPr>
      </w:pPr>
    </w:p>
    <w:p w14:paraId="75D77310">
      <w:pPr>
        <w:ind w:left="0" w:leftChars="0" w:firstLine="0" w:firstLineChars="0"/>
        <w:rPr>
          <w:rFonts w:hint="eastAsia" w:ascii="仿宋" w:hAnsi="仿宋" w:eastAsia="仿宋" w:cs="仿宋"/>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358222F3">
      <w:pPr>
        <w:pStyle w:val="2"/>
        <w:keepNext w:val="0"/>
        <w:keepLines w:val="0"/>
        <w:pageBreakBefore w:val="0"/>
        <w:kinsoku/>
        <w:wordWrap/>
        <w:overflowPunct/>
        <w:topLinePunct w:val="0"/>
        <w:autoSpaceDE/>
        <w:autoSpaceDN/>
        <w:bidi w:val="0"/>
        <w:adjustRightInd/>
        <w:snapToGrid/>
        <w:spacing w:after="0" w:afterLines="0" w:line="360" w:lineRule="auto"/>
        <w:ind w:left="0" w:leftChars="0" w:firstLine="0" w:firstLineChars="0"/>
        <w:textAlignment w:val="auto"/>
        <w:outlineLvl w:val="2"/>
        <w:rPr>
          <w:rFonts w:hint="eastAsia" w:ascii="仿宋" w:hAnsi="仿宋" w:eastAsia="仿宋" w:cs="仿宋"/>
          <w:b/>
          <w:bCs w:val="0"/>
          <w:color w:val="auto"/>
          <w:sz w:val="28"/>
          <w:szCs w:val="28"/>
          <w:lang w:val="en-US" w:eastAsia="zh-CN"/>
        </w:rPr>
      </w:pPr>
      <w:r>
        <w:rPr>
          <w:rFonts w:hint="eastAsia" w:ascii="仿宋" w:hAnsi="仿宋" w:eastAsia="仿宋" w:cs="仿宋"/>
          <w:b/>
          <w:bCs w:val="0"/>
          <w:color w:val="auto"/>
          <w:sz w:val="28"/>
          <w:szCs w:val="28"/>
          <w:lang w:val="en-US" w:eastAsia="zh-CN"/>
        </w:rPr>
        <w:t>2.2.1 调查目的</w:t>
      </w:r>
      <w:bookmarkEnd w:id="41"/>
      <w:bookmarkEnd w:id="42"/>
    </w:p>
    <w:p w14:paraId="27227927">
      <w:pPr>
        <w:keepNext w:val="0"/>
        <w:keepLines w:val="0"/>
        <w:pageBreakBefore w:val="0"/>
        <w:widowControl/>
        <w:kinsoku/>
        <w:wordWrap/>
        <w:overflowPunct/>
        <w:topLinePunct w:val="0"/>
        <w:bidi w:val="0"/>
        <w:spacing w:line="360"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根据《建设用地土壤污染状况调查技术导则》（HJ25.1-2019）、《建设用地土壤污染风险管控和修复监测技术导则（HJ25.2-2019）》、《建设用地土壤环境调查评估技术指南》等导则及相关技术性规范，开展</w:t>
      </w:r>
      <w:r>
        <w:rPr>
          <w:rFonts w:hint="eastAsia" w:ascii="仿宋" w:hAnsi="仿宋" w:eastAsia="仿宋" w:cs="仿宋"/>
          <w:color w:val="auto"/>
          <w:sz w:val="24"/>
          <w:szCs w:val="24"/>
          <w:lang w:val="en-US" w:eastAsia="zh-CN"/>
        </w:rPr>
        <w:t>原南通岸西化工有限公司地块土</w:t>
      </w:r>
      <w:r>
        <w:rPr>
          <w:rFonts w:hint="eastAsia" w:ascii="仿宋" w:hAnsi="仿宋" w:eastAsia="仿宋" w:cs="仿宋"/>
          <w:color w:val="auto"/>
          <w:sz w:val="24"/>
          <w:szCs w:val="24"/>
        </w:rPr>
        <w:t>壤污染状况调查，对地块的土壤和地下水的环境</w:t>
      </w:r>
      <w:r>
        <w:rPr>
          <w:rFonts w:hint="eastAsia" w:ascii="仿宋" w:hAnsi="仿宋" w:eastAsia="仿宋" w:cs="仿宋"/>
          <w:color w:val="auto"/>
          <w:sz w:val="24"/>
          <w:szCs w:val="24"/>
          <w:lang w:val="en-US" w:eastAsia="zh-CN"/>
        </w:rPr>
        <w:t>状况</w:t>
      </w:r>
      <w:r>
        <w:rPr>
          <w:rFonts w:hint="eastAsia" w:ascii="仿宋" w:hAnsi="仿宋" w:eastAsia="仿宋" w:cs="仿宋"/>
          <w:color w:val="auto"/>
          <w:sz w:val="24"/>
          <w:szCs w:val="24"/>
        </w:rPr>
        <w:t>进行评价。通过土壤和地下水样品采集、检测分析，确定地块环境质量是否满足建设用地的环境质量要求，对后续工作提供指导建议。</w:t>
      </w:r>
    </w:p>
    <w:p w14:paraId="77CEC2FC">
      <w:pPr>
        <w:pStyle w:val="2"/>
        <w:keepNext w:val="0"/>
        <w:keepLines w:val="0"/>
        <w:pageBreakBefore w:val="0"/>
        <w:kinsoku/>
        <w:wordWrap/>
        <w:overflowPunct/>
        <w:topLinePunct w:val="0"/>
        <w:autoSpaceDE/>
        <w:autoSpaceDN/>
        <w:bidi w:val="0"/>
        <w:adjustRightInd/>
        <w:snapToGrid/>
        <w:spacing w:after="0" w:afterLines="0" w:line="360" w:lineRule="auto"/>
        <w:ind w:left="0" w:leftChars="0" w:firstLine="0" w:firstLineChars="0"/>
        <w:textAlignment w:val="auto"/>
        <w:outlineLvl w:val="2"/>
        <w:rPr>
          <w:rFonts w:hint="default" w:ascii="仿宋" w:hAnsi="仿宋" w:eastAsia="仿宋" w:cs="仿宋"/>
          <w:b/>
          <w:bCs w:val="0"/>
          <w:color w:val="auto"/>
          <w:sz w:val="28"/>
          <w:szCs w:val="28"/>
          <w:lang w:val="en-US" w:eastAsia="zh-CN"/>
        </w:rPr>
      </w:pPr>
      <w:bookmarkStart w:id="43" w:name="_Toc12094"/>
      <w:bookmarkStart w:id="44" w:name="_Toc28901"/>
      <w:bookmarkStart w:id="45" w:name="_Toc12226"/>
      <w:bookmarkStart w:id="46" w:name="_Toc19955"/>
      <w:bookmarkStart w:id="47" w:name="_Toc7532"/>
      <w:bookmarkStart w:id="48" w:name="_Toc9813"/>
      <w:r>
        <w:rPr>
          <w:rFonts w:hint="eastAsia" w:ascii="仿宋" w:hAnsi="仿宋" w:eastAsia="仿宋" w:cs="仿宋"/>
          <w:b/>
          <w:bCs w:val="0"/>
          <w:color w:val="auto"/>
          <w:sz w:val="28"/>
          <w:szCs w:val="28"/>
          <w:lang w:val="en-US" w:eastAsia="zh-CN"/>
        </w:rPr>
        <w:t>2.2.2 调查原</w:t>
      </w:r>
      <w:bookmarkEnd w:id="43"/>
      <w:bookmarkEnd w:id="44"/>
      <w:bookmarkEnd w:id="45"/>
      <w:bookmarkEnd w:id="46"/>
      <w:bookmarkEnd w:id="47"/>
      <w:bookmarkEnd w:id="48"/>
      <w:r>
        <w:rPr>
          <w:rFonts w:hint="eastAsia" w:ascii="仿宋" w:hAnsi="仿宋" w:eastAsia="仿宋" w:cs="仿宋"/>
          <w:b/>
          <w:bCs w:val="0"/>
          <w:color w:val="auto"/>
          <w:sz w:val="28"/>
          <w:szCs w:val="28"/>
          <w:lang w:val="en-US" w:eastAsia="zh-CN"/>
        </w:rPr>
        <w:t>则</w:t>
      </w:r>
    </w:p>
    <w:p w14:paraId="352C1FF8">
      <w:pPr>
        <w:keepNext w:val="0"/>
        <w:keepLines w:val="0"/>
        <w:pageBreakBefore w:val="0"/>
        <w:kinsoku/>
        <w:wordWrap/>
        <w:overflowPunct/>
        <w:topLinePunct w:val="0"/>
        <w:autoSpaceDE w:val="0"/>
        <w:autoSpaceDN w:val="0"/>
        <w:bidi w:val="0"/>
        <w:adjustRightInd w:val="0"/>
        <w:snapToGrid w:val="0"/>
        <w:ind w:firstLine="480"/>
        <w:jc w:val="left"/>
        <w:textAlignment w:val="auto"/>
        <w:rPr>
          <w:rFonts w:hint="eastAsia" w:ascii="仿宋" w:hAnsi="仿宋" w:eastAsia="仿宋" w:cs="仿宋"/>
          <w:bCs/>
          <w:color w:val="auto"/>
          <w:kern w:val="0"/>
        </w:rPr>
      </w:pPr>
      <w:r>
        <w:rPr>
          <w:rFonts w:hint="eastAsia" w:ascii="仿宋" w:hAnsi="仿宋" w:eastAsia="仿宋" w:cs="仿宋"/>
          <w:bCs/>
          <w:color w:val="auto"/>
          <w:kern w:val="0"/>
        </w:rPr>
        <w:t>（1）针对性原则</w:t>
      </w:r>
    </w:p>
    <w:p w14:paraId="31006B9C">
      <w:pPr>
        <w:keepNext w:val="0"/>
        <w:keepLines w:val="0"/>
        <w:pageBreakBefore w:val="0"/>
        <w:kinsoku/>
        <w:wordWrap/>
        <w:overflowPunct/>
        <w:topLinePunct w:val="0"/>
        <w:autoSpaceDE w:val="0"/>
        <w:autoSpaceDN w:val="0"/>
        <w:bidi w:val="0"/>
        <w:adjustRightInd w:val="0"/>
        <w:snapToGrid w:val="0"/>
        <w:ind w:firstLine="480"/>
        <w:jc w:val="left"/>
        <w:textAlignment w:val="auto"/>
        <w:rPr>
          <w:rFonts w:hint="eastAsia" w:ascii="仿宋" w:hAnsi="仿宋" w:eastAsia="仿宋" w:cs="仿宋"/>
          <w:bCs/>
          <w:color w:val="auto"/>
          <w:kern w:val="0"/>
        </w:rPr>
      </w:pPr>
      <w:r>
        <w:rPr>
          <w:rFonts w:hint="eastAsia" w:ascii="仿宋" w:hAnsi="仿宋" w:eastAsia="仿宋" w:cs="仿宋"/>
          <w:bCs/>
          <w:color w:val="auto"/>
          <w:kern w:val="0"/>
        </w:rPr>
        <w:t>针对地块土壤和地下水污染特点，根据目标地块土壤类型及各层分布情况、地下水埋深、地下水流向、原使用情况、生产历史等对地块各个区域进行针对性调查，</w:t>
      </w:r>
      <w:r>
        <w:rPr>
          <w:rFonts w:hint="eastAsia" w:ascii="仿宋" w:hAnsi="仿宋" w:eastAsia="仿宋" w:cs="仿宋"/>
          <w:color w:val="auto"/>
        </w:rPr>
        <w:t>为地块的环境管理提供依据</w:t>
      </w:r>
      <w:r>
        <w:rPr>
          <w:rFonts w:hint="eastAsia" w:ascii="仿宋" w:hAnsi="仿宋" w:eastAsia="仿宋" w:cs="仿宋"/>
          <w:bCs/>
          <w:color w:val="auto"/>
          <w:kern w:val="0"/>
        </w:rPr>
        <w:t>。</w:t>
      </w:r>
    </w:p>
    <w:p w14:paraId="5F3ABCC8">
      <w:pPr>
        <w:keepNext w:val="0"/>
        <w:keepLines w:val="0"/>
        <w:pageBreakBefore w:val="0"/>
        <w:kinsoku/>
        <w:wordWrap/>
        <w:overflowPunct/>
        <w:topLinePunct w:val="0"/>
        <w:autoSpaceDE w:val="0"/>
        <w:autoSpaceDN w:val="0"/>
        <w:bidi w:val="0"/>
        <w:adjustRightInd w:val="0"/>
        <w:snapToGrid w:val="0"/>
        <w:ind w:firstLine="480"/>
        <w:jc w:val="left"/>
        <w:textAlignment w:val="auto"/>
        <w:rPr>
          <w:rFonts w:hint="eastAsia" w:ascii="仿宋" w:hAnsi="仿宋" w:eastAsia="仿宋" w:cs="仿宋"/>
          <w:bCs/>
          <w:color w:val="auto"/>
          <w:kern w:val="0"/>
        </w:rPr>
      </w:pPr>
      <w:r>
        <w:rPr>
          <w:rFonts w:hint="eastAsia" w:ascii="仿宋" w:hAnsi="仿宋" w:eastAsia="仿宋" w:cs="仿宋"/>
          <w:bCs/>
          <w:color w:val="auto"/>
          <w:kern w:val="0"/>
        </w:rPr>
        <w:t>（2）规范性原则</w:t>
      </w:r>
    </w:p>
    <w:p w14:paraId="1A41A85C">
      <w:pPr>
        <w:keepNext w:val="0"/>
        <w:keepLines w:val="0"/>
        <w:pageBreakBefore w:val="0"/>
        <w:kinsoku/>
        <w:wordWrap/>
        <w:overflowPunct/>
        <w:topLinePunct w:val="0"/>
        <w:autoSpaceDE w:val="0"/>
        <w:autoSpaceDN w:val="0"/>
        <w:bidi w:val="0"/>
        <w:adjustRightInd w:val="0"/>
        <w:snapToGrid w:val="0"/>
        <w:ind w:firstLine="480"/>
        <w:jc w:val="left"/>
        <w:textAlignment w:val="auto"/>
        <w:rPr>
          <w:rFonts w:hint="eastAsia" w:ascii="仿宋" w:hAnsi="仿宋" w:eastAsia="仿宋" w:cs="仿宋"/>
          <w:bCs/>
          <w:color w:val="auto"/>
          <w:kern w:val="0"/>
        </w:rPr>
      </w:pPr>
      <w:r>
        <w:rPr>
          <w:rFonts w:hint="eastAsia" w:ascii="仿宋" w:hAnsi="仿宋" w:eastAsia="仿宋" w:cs="仿宋"/>
          <w:bCs/>
          <w:color w:val="auto"/>
          <w:kern w:val="0"/>
        </w:rPr>
        <w:t>严格按照国内地块调查最新的相关技术规范开展工作，从布点方案编制、现场点位采样、样品保存运输到样品分析等一系列过程的各个环节进行严格的质量控制，以确保调查过程和调查结果的科学性、准确性和客观性。</w:t>
      </w:r>
    </w:p>
    <w:p w14:paraId="2B529843">
      <w:pPr>
        <w:keepNext w:val="0"/>
        <w:keepLines w:val="0"/>
        <w:pageBreakBefore w:val="0"/>
        <w:kinsoku/>
        <w:wordWrap/>
        <w:overflowPunct/>
        <w:topLinePunct w:val="0"/>
        <w:autoSpaceDE w:val="0"/>
        <w:autoSpaceDN w:val="0"/>
        <w:bidi w:val="0"/>
        <w:adjustRightInd w:val="0"/>
        <w:snapToGrid w:val="0"/>
        <w:ind w:firstLine="480"/>
        <w:jc w:val="left"/>
        <w:textAlignment w:val="auto"/>
        <w:rPr>
          <w:rFonts w:hint="eastAsia" w:ascii="仿宋" w:hAnsi="仿宋" w:eastAsia="仿宋" w:cs="仿宋"/>
          <w:bCs/>
          <w:color w:val="auto"/>
          <w:kern w:val="0"/>
        </w:rPr>
      </w:pPr>
      <w:r>
        <w:rPr>
          <w:rFonts w:hint="eastAsia" w:ascii="仿宋" w:hAnsi="仿宋" w:eastAsia="仿宋" w:cs="仿宋"/>
          <w:bCs/>
          <w:color w:val="auto"/>
          <w:kern w:val="0"/>
        </w:rPr>
        <w:t>（3）可操作性原则</w:t>
      </w:r>
    </w:p>
    <w:p w14:paraId="252EEF2A">
      <w:pPr>
        <w:keepNext w:val="0"/>
        <w:keepLines w:val="0"/>
        <w:pageBreakBefore w:val="0"/>
        <w:kinsoku/>
        <w:wordWrap/>
        <w:overflowPunct/>
        <w:topLinePunct w:val="0"/>
        <w:autoSpaceDE w:val="0"/>
        <w:autoSpaceDN w:val="0"/>
        <w:bidi w:val="0"/>
        <w:adjustRightInd w:val="0"/>
        <w:snapToGrid w:val="0"/>
        <w:ind w:firstLine="480"/>
        <w:jc w:val="left"/>
        <w:textAlignment w:val="auto"/>
        <w:rPr>
          <w:rFonts w:hint="eastAsia" w:ascii="仿宋" w:hAnsi="仿宋" w:eastAsia="仿宋" w:cs="仿宋"/>
          <w:bCs/>
          <w:color w:val="auto"/>
          <w:kern w:val="0"/>
        </w:rPr>
      </w:pPr>
      <w:r>
        <w:rPr>
          <w:rFonts w:hint="eastAsia" w:ascii="仿宋" w:hAnsi="仿宋" w:eastAsia="仿宋" w:cs="仿宋"/>
          <w:bCs/>
          <w:color w:val="auto"/>
          <w:kern w:val="0"/>
        </w:rPr>
        <w:t>开展调查工作时要综合考虑调查方法、调查时间、调查经费以及现场条件等客观因素，制定切实可行的实施方案，确保调查工作的顺利进行。</w:t>
      </w:r>
    </w:p>
    <w:p w14:paraId="3F89C5B3">
      <w:pPr>
        <w:pStyle w:val="2"/>
        <w:keepNext w:val="0"/>
        <w:keepLines w:val="0"/>
        <w:pageBreakBefore w:val="0"/>
        <w:kinsoku/>
        <w:wordWrap/>
        <w:overflowPunct/>
        <w:topLinePunct w:val="0"/>
        <w:autoSpaceDE/>
        <w:autoSpaceDN/>
        <w:bidi w:val="0"/>
        <w:adjustRightInd/>
        <w:snapToGrid/>
        <w:spacing w:after="0" w:afterLines="0"/>
        <w:ind w:left="0" w:leftChars="0" w:firstLine="0" w:firstLineChars="0"/>
        <w:textAlignment w:val="auto"/>
        <w:outlineLvl w:val="1"/>
        <w:rPr>
          <w:rFonts w:hint="eastAsia" w:ascii="仿宋" w:hAnsi="仿宋" w:eastAsia="仿宋" w:cs="仿宋"/>
          <w:b/>
          <w:bCs/>
          <w:color w:val="auto"/>
          <w:sz w:val="28"/>
          <w:szCs w:val="21"/>
          <w:lang w:val="en-US" w:eastAsia="zh-CN"/>
        </w:rPr>
      </w:pPr>
      <w:bookmarkStart w:id="49" w:name="_Toc8604"/>
      <w:bookmarkStart w:id="50" w:name="_Toc13604"/>
      <w:bookmarkStart w:id="51" w:name="_Toc1373"/>
      <w:bookmarkStart w:id="52" w:name="_Toc30906"/>
      <w:bookmarkStart w:id="53" w:name="_Toc10063"/>
      <w:bookmarkStart w:id="54" w:name="_Toc10128"/>
      <w:bookmarkStart w:id="55" w:name="_Toc18176"/>
      <w:bookmarkStart w:id="56" w:name="_Toc26577"/>
      <w:bookmarkStart w:id="57" w:name="_Toc26213"/>
      <w:r>
        <w:rPr>
          <w:rFonts w:hint="eastAsia" w:ascii="仿宋" w:hAnsi="仿宋" w:eastAsia="仿宋" w:cs="仿宋"/>
          <w:b/>
          <w:bCs/>
          <w:color w:val="auto"/>
          <w:sz w:val="28"/>
          <w:szCs w:val="21"/>
          <w:lang w:val="en-US" w:eastAsia="zh-CN"/>
        </w:rPr>
        <w:t>2.3  调查依据</w:t>
      </w:r>
      <w:bookmarkEnd w:id="49"/>
      <w:bookmarkEnd w:id="50"/>
      <w:bookmarkEnd w:id="51"/>
      <w:bookmarkEnd w:id="52"/>
      <w:bookmarkEnd w:id="53"/>
      <w:bookmarkEnd w:id="54"/>
      <w:bookmarkEnd w:id="55"/>
      <w:bookmarkEnd w:id="56"/>
      <w:bookmarkEnd w:id="57"/>
    </w:p>
    <w:p w14:paraId="16E22E88">
      <w:pPr>
        <w:pStyle w:val="2"/>
        <w:keepNext w:val="0"/>
        <w:keepLines w:val="0"/>
        <w:pageBreakBefore w:val="0"/>
        <w:kinsoku/>
        <w:wordWrap/>
        <w:overflowPunct/>
        <w:topLinePunct w:val="0"/>
        <w:autoSpaceDE/>
        <w:autoSpaceDN/>
        <w:bidi w:val="0"/>
        <w:adjustRightInd/>
        <w:snapToGrid/>
        <w:spacing w:after="0" w:afterLines="0" w:line="360" w:lineRule="auto"/>
        <w:ind w:left="0" w:leftChars="0" w:firstLine="0" w:firstLineChars="0"/>
        <w:textAlignment w:val="auto"/>
        <w:outlineLvl w:val="2"/>
        <w:rPr>
          <w:rFonts w:hint="eastAsia" w:ascii="仿宋" w:hAnsi="仿宋" w:eastAsia="仿宋" w:cs="仿宋"/>
          <w:b/>
          <w:bCs w:val="0"/>
          <w:color w:val="auto"/>
          <w:sz w:val="28"/>
          <w:szCs w:val="28"/>
          <w:lang w:val="en-US" w:eastAsia="zh-CN"/>
        </w:rPr>
      </w:pPr>
      <w:bookmarkStart w:id="58" w:name="_Toc13539"/>
      <w:bookmarkStart w:id="59" w:name="_Toc27812"/>
      <w:bookmarkStart w:id="60" w:name="_Toc6818"/>
      <w:bookmarkStart w:id="61" w:name="_Toc1530"/>
      <w:bookmarkStart w:id="62" w:name="_Toc4146"/>
      <w:bookmarkStart w:id="63" w:name="_Toc5220"/>
      <w:bookmarkStart w:id="64" w:name="_Toc29488"/>
      <w:r>
        <w:rPr>
          <w:rFonts w:hint="eastAsia" w:ascii="仿宋" w:hAnsi="仿宋" w:eastAsia="仿宋" w:cs="仿宋"/>
          <w:b/>
          <w:bCs w:val="0"/>
          <w:color w:val="auto"/>
          <w:sz w:val="28"/>
          <w:szCs w:val="28"/>
          <w:lang w:val="en-US" w:eastAsia="zh-CN"/>
        </w:rPr>
        <w:t>2.3.1 国家有关法律法规</w:t>
      </w:r>
      <w:bookmarkEnd w:id="58"/>
      <w:bookmarkEnd w:id="59"/>
      <w:bookmarkEnd w:id="60"/>
      <w:bookmarkEnd w:id="61"/>
      <w:bookmarkEnd w:id="62"/>
      <w:r>
        <w:rPr>
          <w:rFonts w:hint="eastAsia" w:ascii="仿宋" w:hAnsi="仿宋" w:eastAsia="仿宋" w:cs="仿宋"/>
          <w:b/>
          <w:bCs w:val="0"/>
          <w:color w:val="auto"/>
          <w:sz w:val="28"/>
          <w:szCs w:val="28"/>
          <w:lang w:val="en-US" w:eastAsia="zh-CN"/>
        </w:rPr>
        <w:t>及规范性文件</w:t>
      </w:r>
      <w:bookmarkEnd w:id="63"/>
      <w:bookmarkEnd w:id="64"/>
    </w:p>
    <w:p w14:paraId="22A8D88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bookmarkStart w:id="65" w:name="_Toc5106"/>
      <w:bookmarkStart w:id="66" w:name="_Toc1558"/>
      <w:bookmarkStart w:id="67" w:name="_Toc26492"/>
      <w:bookmarkStart w:id="68" w:name="_Toc376"/>
      <w:bookmarkStart w:id="69" w:name="_Toc4600"/>
      <w:r>
        <w:rPr>
          <w:rFonts w:hint="eastAsia" w:ascii="仿宋" w:hAnsi="仿宋" w:eastAsia="仿宋" w:cs="仿宋"/>
          <w:b w:val="0"/>
          <w:bCs w:val="0"/>
          <w:color w:val="auto"/>
          <w:sz w:val="24"/>
          <w:szCs w:val="32"/>
          <w:lang w:val="en-US" w:eastAsia="zh-CN"/>
        </w:rPr>
        <w:t>(1)《中华人民共和国环境保护法》（2014年4月24日，2015年1月1日起施行）；</w:t>
      </w:r>
    </w:p>
    <w:p w14:paraId="70010D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(2)《中华人民共和国土壤污染防治法》（2018年8月31日第十三届全国人民代表大会常务委员会第五次会议通过）；</w:t>
      </w:r>
    </w:p>
    <w:p w14:paraId="74D18DC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(3)《中华人民共和国固体废物污染环境防治法》（2020年9月1日施行）；</w:t>
      </w:r>
    </w:p>
    <w:p w14:paraId="46390D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(4)《土壤污染防治行动计划》（国发〔2016〕31号）；</w:t>
      </w:r>
    </w:p>
    <w:p w14:paraId="34B6723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(5)《关于保障工业企业场地开发利用环境安全的通知》（环发 〔2012〕140号）；</w:t>
      </w:r>
    </w:p>
    <w:p w14:paraId="27D4DB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(6)《国务院关于印发土壤污染防治行动计划的通知》（国发 [2016]31号）；</w:t>
      </w:r>
    </w:p>
    <w:p w14:paraId="451FD88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(7)《污染地块土壤环境管理办法（试行）》（环境保护部令第42 号）；</w:t>
      </w:r>
    </w:p>
    <w:p w14:paraId="2D89CD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(8)《关于贯彻落实土壤污染防治法推动解决突出土壤污染问题的 实施意见》（环办土壤〔2019〕47号）；</w:t>
      </w:r>
    </w:p>
    <w:p w14:paraId="44D861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(9)《关于印发地下水污染防治实施方案的通知》（环土壤〔2019〕 25号）；</w:t>
      </w:r>
    </w:p>
    <w:p w14:paraId="6C8BD627">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480" w:firstLineChars="200"/>
        <w:textAlignment w:val="auto"/>
        <w:rPr>
          <w:rFonts w:hint="eastAsia" w:ascii="仿宋" w:hAnsi="仿宋" w:eastAsia="仿宋" w:cs="仿宋"/>
          <w:color w:val="auto"/>
        </w:rPr>
      </w:pPr>
      <w:r>
        <w:rPr>
          <w:rFonts w:hint="eastAsia" w:ascii="仿宋" w:hAnsi="仿宋" w:eastAsia="仿宋" w:cs="仿宋"/>
          <w:b w:val="0"/>
          <w:bCs w:val="0"/>
          <w:color w:val="auto"/>
          <w:sz w:val="24"/>
          <w:szCs w:val="32"/>
          <w:lang w:val="en-US" w:eastAsia="zh-CN"/>
        </w:rPr>
        <w:t>(10)关于发布《建设用地土壤污染状况初步调查监督检查工作指南（试行）》《建设用地土壤污染状况调查质量控制技术规定（试行）》的公告（公告 2022年 第17号）。</w:t>
      </w:r>
    </w:p>
    <w:p w14:paraId="58979B47">
      <w:pPr>
        <w:pStyle w:val="2"/>
        <w:keepNext w:val="0"/>
        <w:keepLines w:val="0"/>
        <w:pageBreakBefore w:val="0"/>
        <w:kinsoku/>
        <w:wordWrap/>
        <w:overflowPunct/>
        <w:topLinePunct w:val="0"/>
        <w:autoSpaceDE/>
        <w:autoSpaceDN/>
        <w:bidi w:val="0"/>
        <w:adjustRightInd/>
        <w:snapToGrid/>
        <w:spacing w:after="0" w:afterLines="0" w:line="360" w:lineRule="auto"/>
        <w:ind w:left="0" w:leftChars="0" w:firstLine="0" w:firstLineChars="0"/>
        <w:textAlignment w:val="auto"/>
        <w:outlineLvl w:val="2"/>
        <w:rPr>
          <w:rFonts w:hint="eastAsia" w:ascii="仿宋" w:hAnsi="仿宋" w:eastAsia="仿宋" w:cs="仿宋"/>
          <w:b/>
          <w:bCs w:val="0"/>
          <w:color w:val="auto"/>
          <w:sz w:val="28"/>
          <w:szCs w:val="28"/>
          <w:lang w:val="en-US" w:eastAsia="zh-CN"/>
        </w:rPr>
      </w:pPr>
      <w:bookmarkStart w:id="70" w:name="_Toc22223"/>
      <w:bookmarkStart w:id="71" w:name="_Toc6237"/>
      <w:r>
        <w:rPr>
          <w:rFonts w:hint="eastAsia" w:ascii="仿宋" w:hAnsi="仿宋" w:eastAsia="仿宋" w:cs="仿宋"/>
          <w:b/>
          <w:bCs w:val="0"/>
          <w:color w:val="auto"/>
          <w:sz w:val="28"/>
          <w:szCs w:val="28"/>
          <w:lang w:val="en-US" w:eastAsia="zh-CN"/>
        </w:rPr>
        <w:t>2.3.2 地方有关法规、规章及规范性文件</w:t>
      </w:r>
      <w:bookmarkEnd w:id="70"/>
      <w:bookmarkEnd w:id="71"/>
    </w:p>
    <w:p w14:paraId="2490DB2C">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480" w:firstLineChars="200"/>
        <w:textAlignment w:val="auto"/>
        <w:rPr>
          <w:rFonts w:hint="eastAsia" w:ascii="仿宋" w:hAnsi="仿宋" w:eastAsia="仿宋" w:cs="仿宋"/>
          <w:b w:val="0"/>
          <w:bCs w:val="0"/>
          <w:color w:val="auto"/>
          <w:sz w:val="24"/>
          <w:szCs w:val="32"/>
          <w:lang w:val="en-US" w:eastAsia="zh-CN"/>
        </w:rPr>
      </w:pPr>
      <w:bookmarkStart w:id="72" w:name="_Toc6233"/>
      <w:bookmarkStart w:id="73" w:name="_Toc8637"/>
      <w:r>
        <w:rPr>
          <w:rFonts w:hint="eastAsia" w:ascii="仿宋" w:hAnsi="仿宋" w:eastAsia="仿宋" w:cs="仿宋"/>
          <w:b w:val="0"/>
          <w:bCs w:val="0"/>
          <w:color w:val="auto"/>
          <w:sz w:val="24"/>
          <w:szCs w:val="32"/>
          <w:lang w:val="en-US" w:eastAsia="zh-CN"/>
        </w:rPr>
        <w:t>(1)《中共江苏省委江苏省人民政府关于加强生态环境保护和建设 的意见》（苏发〔2003〕7号,2003年4月）；</w:t>
      </w:r>
    </w:p>
    <w:p w14:paraId="4CE60A80">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480" w:firstLineChars="200"/>
        <w:textAlignment w:val="auto"/>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(2)《江苏省固体废物污染环境防治条例》（公告第29号，2009年9月23日）；</w:t>
      </w:r>
    </w:p>
    <w:p w14:paraId="1463E6CE">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480" w:firstLineChars="200"/>
        <w:textAlignment w:val="auto"/>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(3)《关于加强我省工业企业场地再开发利用环境安全管理工作的 通知》（苏环办〔2013〕157号文）；</w:t>
      </w:r>
    </w:p>
    <w:p w14:paraId="7C5B55AD">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480" w:firstLineChars="200"/>
        <w:textAlignment w:val="auto"/>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(4)《江苏省政府关于印发江苏省土壤污染防治工作方案的通知》 （苏政发〔2016〕169 号，2016年12月27日）；</w:t>
      </w:r>
    </w:p>
    <w:p w14:paraId="4F7223C2">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480" w:firstLineChars="200"/>
        <w:textAlignment w:val="auto"/>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(5)《江苏省土壤污染防治条例》（2022年3月31日江苏省第十三 届人民代表大会常务委员会第二十九次会议通过）；</w:t>
      </w:r>
    </w:p>
    <w:p w14:paraId="2F0473B6">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480" w:firstLineChars="200"/>
        <w:textAlignment w:val="auto"/>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(6)《南通市土壤污染防治工作方案》（通政发〔2017〕20号，2017年3月）；</w:t>
      </w:r>
    </w:p>
    <w:p w14:paraId="10C51DBC">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480" w:firstLineChars="200"/>
        <w:textAlignment w:val="auto"/>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(7)《南通市生态环境局关于加强污染地块环境监管的通知》（通土环〔2019〕4号）；</w:t>
      </w:r>
    </w:p>
    <w:p w14:paraId="7BC6A9D4">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480" w:firstLineChars="200"/>
        <w:textAlignment w:val="auto"/>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(8)关于印发《南通市建设用地土壤污染状况调查报告评审工作指南（2023 年修订）》（〔2023〕10号）。</w:t>
      </w:r>
    </w:p>
    <w:p w14:paraId="25750E1E">
      <w:pPr>
        <w:pStyle w:val="2"/>
        <w:keepNext w:val="0"/>
        <w:keepLines w:val="0"/>
        <w:pageBreakBefore w:val="0"/>
        <w:kinsoku/>
        <w:wordWrap/>
        <w:overflowPunct/>
        <w:topLinePunct w:val="0"/>
        <w:autoSpaceDE/>
        <w:autoSpaceDN/>
        <w:bidi w:val="0"/>
        <w:adjustRightInd/>
        <w:snapToGrid/>
        <w:spacing w:after="0" w:afterLines="0" w:line="360" w:lineRule="auto"/>
        <w:ind w:left="0" w:leftChars="0" w:firstLine="0" w:firstLineChars="0"/>
        <w:textAlignment w:val="auto"/>
        <w:outlineLvl w:val="2"/>
        <w:rPr>
          <w:rFonts w:hint="eastAsia" w:ascii="仿宋" w:hAnsi="仿宋" w:eastAsia="仿宋" w:cs="仿宋"/>
          <w:b/>
          <w:bCs w:val="0"/>
          <w:color w:val="auto"/>
          <w:sz w:val="28"/>
          <w:szCs w:val="28"/>
          <w:lang w:val="en-US" w:eastAsia="zh-CN"/>
        </w:rPr>
      </w:pPr>
      <w:r>
        <w:rPr>
          <w:rFonts w:hint="eastAsia" w:ascii="仿宋" w:hAnsi="仿宋" w:eastAsia="仿宋" w:cs="仿宋"/>
          <w:b/>
          <w:bCs w:val="0"/>
          <w:color w:val="auto"/>
          <w:sz w:val="28"/>
          <w:szCs w:val="28"/>
          <w:lang w:val="en-US" w:eastAsia="zh-CN"/>
        </w:rPr>
        <w:t>2.3.3 技术导则、相关标准及规范</w:t>
      </w:r>
      <w:bookmarkEnd w:id="65"/>
      <w:bookmarkEnd w:id="66"/>
      <w:bookmarkEnd w:id="67"/>
      <w:bookmarkEnd w:id="68"/>
      <w:bookmarkEnd w:id="69"/>
      <w:bookmarkEnd w:id="72"/>
      <w:bookmarkEnd w:id="73"/>
    </w:p>
    <w:p w14:paraId="0A9B0DA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bookmarkStart w:id="74" w:name="_Toc25779"/>
      <w:r>
        <w:rPr>
          <w:rFonts w:hint="eastAsia" w:ascii="仿宋" w:hAnsi="仿宋" w:eastAsia="仿宋" w:cs="仿宋"/>
          <w:b w:val="0"/>
          <w:bCs w:val="0"/>
          <w:color w:val="auto"/>
          <w:sz w:val="24"/>
          <w:szCs w:val="32"/>
          <w:lang w:val="en-US" w:eastAsia="zh-CN"/>
        </w:rPr>
        <w:t>（1）《建设用地土壤污染风险管控和修复术语》（HJ682-2019）；</w:t>
      </w:r>
    </w:p>
    <w:p w14:paraId="282C1D5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（2）《建设用地土壤污染状况调查技术导则》（HJ25.1-2019）；</w:t>
      </w:r>
    </w:p>
    <w:p w14:paraId="207AB39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（3）《建设用地土壤污染风险评估技术导则》（HJ25.3-2019）；</w:t>
      </w:r>
    </w:p>
    <w:p w14:paraId="59C22B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（4）《地下水环境状况调查评价工作指南》（环办土壤函〔2019〕770号）；</w:t>
      </w:r>
    </w:p>
    <w:p w14:paraId="5F15636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（5）《建设用地土壤环境调查评估技术指南》（公告 2017年 第72 号）；</w:t>
      </w:r>
    </w:p>
    <w:p w14:paraId="100849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（6）《工业企业场地环境调查评估与修复工作指南（试行）》（公告 2014年 第78号）；</w:t>
      </w:r>
    </w:p>
    <w:p w14:paraId="5DAFB3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（7）《土壤环境监测技术规范》（HJ/T166-2004）；</w:t>
      </w:r>
    </w:p>
    <w:p w14:paraId="3BB3F2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（8）《地下水环境监测技术规范》（HJ 164-2020）；</w:t>
      </w:r>
    </w:p>
    <w:p w14:paraId="41A0A36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（9）《水质样品的保存和管理技术规定》（HJ 493—2009）；</w:t>
      </w:r>
    </w:p>
    <w:p w14:paraId="052FC2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（10）《地块土壤和地下水中挥发性有机物采样技术导则》（HJ1019-2019）；</w:t>
      </w:r>
    </w:p>
    <w:p w14:paraId="53FEDF36">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Chars="200"/>
        <w:textAlignment w:val="auto"/>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（11）《复合污染工业地块调查技术指南》（DB32/T 4424-2022）。</w:t>
      </w:r>
    </w:p>
    <w:p w14:paraId="5033D770">
      <w:pPr>
        <w:pStyle w:val="2"/>
        <w:keepNext w:val="0"/>
        <w:keepLines w:val="0"/>
        <w:pageBreakBefore w:val="0"/>
        <w:kinsoku/>
        <w:wordWrap/>
        <w:overflowPunct/>
        <w:topLinePunct w:val="0"/>
        <w:autoSpaceDE/>
        <w:autoSpaceDN/>
        <w:bidi w:val="0"/>
        <w:adjustRightInd/>
        <w:snapToGrid/>
        <w:spacing w:after="0" w:afterLines="0" w:line="360" w:lineRule="auto"/>
        <w:ind w:left="0" w:leftChars="0" w:firstLine="0" w:firstLineChars="0"/>
        <w:textAlignment w:val="auto"/>
        <w:outlineLvl w:val="2"/>
        <w:rPr>
          <w:rFonts w:hint="eastAsia" w:ascii="仿宋" w:hAnsi="仿宋" w:eastAsia="仿宋" w:cs="仿宋"/>
          <w:b/>
          <w:bCs w:val="0"/>
          <w:color w:val="auto"/>
          <w:sz w:val="28"/>
          <w:szCs w:val="28"/>
          <w:lang w:val="en-US" w:eastAsia="zh-CN"/>
        </w:rPr>
      </w:pPr>
      <w:bookmarkStart w:id="75" w:name="_Toc4940"/>
      <w:bookmarkStart w:id="76" w:name="_Toc10326"/>
      <w:r>
        <w:rPr>
          <w:rFonts w:hint="eastAsia" w:ascii="仿宋" w:hAnsi="仿宋" w:eastAsia="仿宋" w:cs="仿宋"/>
          <w:b/>
          <w:bCs w:val="0"/>
          <w:color w:val="auto"/>
          <w:sz w:val="28"/>
          <w:szCs w:val="28"/>
          <w:lang w:val="en-US" w:eastAsia="zh-CN"/>
        </w:rPr>
        <w:t>2.3.4 评价标准</w:t>
      </w:r>
      <w:bookmarkEnd w:id="74"/>
      <w:bookmarkEnd w:id="75"/>
      <w:bookmarkEnd w:id="76"/>
    </w:p>
    <w:p w14:paraId="50613DB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（1）《土壤环境质量 建设用地土壤污染风险管控标准（试行）》（GB 36600-2018）；</w:t>
      </w:r>
    </w:p>
    <w:p w14:paraId="55E1886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（2）《地下水质量标准》（GB/T 14848-2017）；</w:t>
      </w:r>
    </w:p>
    <w:p w14:paraId="5C3BBF1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（3）上海市生态环境局关于印发《上海市建设用地土壤污染状况调查、风险评估、风险管控与修复方案编制、风险管控与修复效果评估工作的补充规定（试 行）》的通知（沪环土〔2020〕62号）；</w:t>
      </w:r>
    </w:p>
    <w:p w14:paraId="25E07A6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（4）深圳市《建设用地土壤污染风险筛选值和管制值（DB4403/T 67—2020）》；</w:t>
      </w:r>
    </w:p>
    <w:p w14:paraId="240076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（5）河北省《建设用地土壤污染风险筛选值》(DB13/T5216-2020）；</w:t>
      </w:r>
    </w:p>
    <w:p w14:paraId="59D650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（6）黑龙江省《土壤污染防治风险筛选指导值（试行）》（DB23/T3314-2022）；</w:t>
      </w:r>
    </w:p>
    <w:p w14:paraId="0BABED9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（7）《污染场地风险评估电子表格》；</w:t>
      </w:r>
    </w:p>
    <w:p w14:paraId="16FF5D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bookmarkStart w:id="77" w:name="_Toc10113"/>
      <w:bookmarkStart w:id="78" w:name="_Toc16002"/>
      <w:bookmarkStart w:id="79" w:name="_Toc5490"/>
      <w:bookmarkStart w:id="80" w:name="_Toc17550"/>
      <w:bookmarkStart w:id="81" w:name="_Toc10397"/>
      <w:bookmarkStart w:id="82" w:name="_Toc5069"/>
      <w:bookmarkStart w:id="83" w:name="_Toc9530"/>
      <w:r>
        <w:rPr>
          <w:rFonts w:hint="eastAsia" w:ascii="仿宋" w:hAnsi="仿宋" w:eastAsia="仿宋" w:cs="仿宋"/>
          <w:b w:val="0"/>
          <w:bCs w:val="0"/>
          <w:color w:val="auto"/>
          <w:sz w:val="24"/>
          <w:szCs w:val="32"/>
          <w:lang w:val="en-US" w:eastAsia="zh-CN"/>
        </w:rPr>
        <w:t>（8）《地表水环境质量标准》（GB3838-2002）。</w:t>
      </w:r>
    </w:p>
    <w:p w14:paraId="706D53C6">
      <w:pPr>
        <w:pStyle w:val="2"/>
        <w:keepNext w:val="0"/>
        <w:keepLines w:val="0"/>
        <w:pageBreakBefore w:val="0"/>
        <w:kinsoku/>
        <w:wordWrap/>
        <w:overflowPunct/>
        <w:topLinePunct w:val="0"/>
        <w:autoSpaceDE/>
        <w:autoSpaceDN/>
        <w:bidi w:val="0"/>
        <w:adjustRightInd/>
        <w:snapToGrid/>
        <w:spacing w:after="0" w:afterLines="0" w:line="360" w:lineRule="auto"/>
        <w:ind w:left="0" w:leftChars="0" w:firstLine="0" w:firstLineChars="0"/>
        <w:textAlignment w:val="auto"/>
        <w:outlineLvl w:val="2"/>
        <w:rPr>
          <w:rFonts w:hint="eastAsia" w:ascii="仿宋" w:hAnsi="仿宋" w:eastAsia="仿宋" w:cs="仿宋"/>
          <w:b/>
          <w:bCs w:val="0"/>
          <w:color w:val="auto"/>
          <w:sz w:val="28"/>
          <w:szCs w:val="28"/>
          <w:lang w:val="en-US" w:eastAsia="zh-CN"/>
        </w:rPr>
      </w:pPr>
      <w:r>
        <w:rPr>
          <w:rFonts w:hint="eastAsia" w:ascii="仿宋" w:hAnsi="仿宋" w:eastAsia="仿宋" w:cs="仿宋"/>
          <w:b/>
          <w:bCs w:val="0"/>
          <w:color w:val="auto"/>
          <w:sz w:val="28"/>
          <w:szCs w:val="28"/>
          <w:lang w:val="en-US" w:eastAsia="zh-CN"/>
        </w:rPr>
        <w:t>2.3.5 其他资料</w:t>
      </w:r>
      <w:bookmarkEnd w:id="77"/>
      <w:bookmarkEnd w:id="78"/>
      <w:bookmarkEnd w:id="79"/>
      <w:bookmarkEnd w:id="80"/>
      <w:bookmarkEnd w:id="81"/>
      <w:bookmarkEnd w:id="82"/>
      <w:bookmarkEnd w:id="83"/>
    </w:p>
    <w:p w14:paraId="24BF293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（1）《关于原南通岸西化工有限公司地块后续土壤污染防治工作的通知》（通州环〔2024]1号）；</w:t>
      </w:r>
    </w:p>
    <w:p w14:paraId="0D7A0E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（2）《南通市通州区十总镇工业集中区开发建设规划（2023-2035年）环境影响报告书》；</w:t>
      </w:r>
    </w:p>
    <w:p w14:paraId="562B04B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（3）江苏环保产业技术研究院股份公司《原南通岸西化工有限公司地块土壤污染状况调查报告》（2021.12）；</w:t>
      </w:r>
    </w:p>
    <w:p w14:paraId="3366C37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（4）布鲁环境技术（南通）有限公司《原南通岸西化工有限公司地块土壤污染状况调查报告》（2023.5）；</w:t>
      </w:r>
    </w:p>
    <w:p w14:paraId="18E5487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（5）通环罚字[2016]第125号；</w:t>
      </w:r>
    </w:p>
    <w:p w14:paraId="131E9D1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（6）通环罚字[2017]第60号；</w:t>
      </w:r>
    </w:p>
    <w:p w14:paraId="6711269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（7）通环罚字[2018]第16号；</w:t>
      </w:r>
    </w:p>
    <w:p w14:paraId="17866BC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（8）通环罚字[2018]第17号；</w:t>
      </w:r>
    </w:p>
    <w:p w14:paraId="32DA16A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（9）《南通市通州区十总镇人民政府南通市通州区十总镇骑岸居民联建楼》（勘察编号：KNT2015-21）》；</w:t>
      </w:r>
    </w:p>
    <w:p w14:paraId="6F2708A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color w:val="auto"/>
        </w:rPr>
      </w:pPr>
      <w:r>
        <w:rPr>
          <w:rFonts w:hint="eastAsia" w:ascii="仿宋" w:hAnsi="仿宋" w:eastAsia="仿宋" w:cs="仿宋"/>
          <w:b w:val="0"/>
          <w:bCs w:val="0"/>
          <w:color w:val="auto"/>
          <w:sz w:val="24"/>
          <w:szCs w:val="32"/>
          <w:lang w:val="en-US" w:eastAsia="zh-CN"/>
        </w:rPr>
        <w:t>（10）《南通市通州区十总镇工业集中区开发建设规划（2023-2035年）环境影响报告书》；</w:t>
      </w:r>
    </w:p>
    <w:p w14:paraId="48CD5D1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b w:val="0"/>
          <w:bCs w:val="0"/>
          <w:color w:val="auto"/>
          <w:sz w:val="24"/>
          <w:szCs w:val="32"/>
          <w:lang w:val="en-US" w:eastAsia="zh-CN"/>
        </w:rPr>
      </w:pPr>
      <w:r>
        <w:rPr>
          <w:rFonts w:hint="eastAsia" w:ascii="仿宋" w:hAnsi="仿宋" w:eastAsia="仿宋" w:cs="仿宋"/>
          <w:b w:val="0"/>
          <w:bCs w:val="0"/>
          <w:color w:val="auto"/>
          <w:sz w:val="24"/>
          <w:szCs w:val="32"/>
          <w:lang w:val="en-US" w:eastAsia="zh-CN"/>
        </w:rPr>
        <w:t>（11）中设设计集团股份有限公司《南通岸西化工有限公司地块在产企业地块信息风险筛查报告》；</w:t>
      </w:r>
    </w:p>
    <w:p w14:paraId="79773E6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仿宋" w:hAnsi="仿宋" w:eastAsia="仿宋" w:cs="仿宋"/>
          <w:color w:val="auto"/>
          <w:lang w:val="en-US" w:eastAsia="zh-CN"/>
        </w:rPr>
      </w:pPr>
      <w:r>
        <w:rPr>
          <w:rFonts w:hint="eastAsia" w:ascii="仿宋" w:hAnsi="仿宋" w:eastAsia="仿宋" w:cs="仿宋"/>
          <w:b w:val="0"/>
          <w:bCs w:val="0"/>
          <w:color w:val="auto"/>
          <w:sz w:val="24"/>
          <w:szCs w:val="32"/>
          <w:lang w:val="en-US" w:eastAsia="zh-CN"/>
        </w:rPr>
        <w:t>（12）业主提供的其他资料等。</w:t>
      </w:r>
    </w:p>
    <w:p w14:paraId="2906DD00">
      <w:pPr>
        <w:pStyle w:val="10"/>
        <w:keepNext w:val="0"/>
        <w:keepLines w:val="0"/>
        <w:pageBreakBefore w:val="0"/>
        <w:widowControl w:val="0"/>
        <w:kinsoku/>
        <w:wordWrap/>
        <w:overflowPunct/>
        <w:topLinePunct w:val="0"/>
        <w:autoSpaceDE/>
        <w:autoSpaceDN/>
        <w:bidi w:val="0"/>
        <w:adjustRightInd/>
        <w:snapToGrid/>
        <w:spacing w:after="0" w:afterLines="0"/>
        <w:ind w:left="0" w:firstLine="480" w:firstLineChars="200"/>
        <w:textAlignment w:val="auto"/>
        <w:rPr>
          <w:rFonts w:hint="eastAsia" w:ascii="仿宋" w:hAnsi="仿宋" w:eastAsia="仿宋" w:cs="仿宋"/>
          <w:color w:val="auto"/>
          <w:sz w:val="24"/>
          <w:szCs w:val="18"/>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69EC102E">
      <w:pPr>
        <w:pStyle w:val="2"/>
        <w:keepNext w:val="0"/>
        <w:keepLines w:val="0"/>
        <w:pageBreakBefore w:val="0"/>
        <w:kinsoku/>
        <w:wordWrap/>
        <w:overflowPunct/>
        <w:topLinePunct w:val="0"/>
        <w:autoSpaceDE/>
        <w:autoSpaceDN/>
        <w:bidi w:val="0"/>
        <w:adjustRightInd/>
        <w:snapToGrid/>
        <w:spacing w:after="0" w:afterLines="0" w:line="360" w:lineRule="auto"/>
        <w:ind w:left="0" w:leftChars="0" w:firstLine="0" w:firstLineChars="0"/>
        <w:textAlignment w:val="auto"/>
        <w:outlineLvl w:val="1"/>
        <w:rPr>
          <w:rFonts w:hint="eastAsia" w:ascii="仿宋" w:hAnsi="仿宋" w:eastAsia="仿宋" w:cs="仿宋"/>
          <w:b/>
          <w:bCs w:val="0"/>
          <w:color w:val="auto"/>
          <w:sz w:val="28"/>
          <w:szCs w:val="28"/>
          <w:lang w:val="en-US" w:eastAsia="zh-CN"/>
        </w:rPr>
      </w:pPr>
      <w:bookmarkStart w:id="84" w:name="_Toc31012"/>
      <w:bookmarkStart w:id="85" w:name="_Toc7083"/>
      <w:bookmarkStart w:id="86" w:name="_Toc8181"/>
      <w:bookmarkStart w:id="87" w:name="_Toc15596"/>
      <w:bookmarkStart w:id="88" w:name="_Toc7236"/>
      <w:bookmarkStart w:id="89" w:name="_Toc19182"/>
      <w:r>
        <w:rPr>
          <w:rFonts w:hint="eastAsia" w:ascii="仿宋" w:hAnsi="仿宋" w:eastAsia="仿宋" w:cs="仿宋"/>
          <w:b/>
          <w:bCs w:val="0"/>
          <w:color w:val="auto"/>
          <w:sz w:val="28"/>
          <w:szCs w:val="28"/>
          <w:lang w:val="en-US" w:eastAsia="zh-CN"/>
        </w:rPr>
        <w:t xml:space="preserve">2.4  </w:t>
      </w:r>
      <w:bookmarkEnd w:id="84"/>
      <w:bookmarkEnd w:id="85"/>
      <w:r>
        <w:rPr>
          <w:rFonts w:hint="eastAsia" w:ascii="仿宋" w:hAnsi="仿宋" w:eastAsia="仿宋" w:cs="仿宋"/>
          <w:b/>
          <w:bCs w:val="0"/>
          <w:color w:val="auto"/>
          <w:sz w:val="28"/>
          <w:szCs w:val="28"/>
          <w:lang w:val="en-US" w:eastAsia="zh-CN"/>
        </w:rPr>
        <w:t>调查方法</w:t>
      </w:r>
      <w:bookmarkEnd w:id="86"/>
      <w:bookmarkEnd w:id="87"/>
      <w:bookmarkEnd w:id="88"/>
      <w:bookmarkEnd w:id="89"/>
    </w:p>
    <w:p w14:paraId="6F191490">
      <w:pPr>
        <w:keepNext w:val="0"/>
        <w:keepLines w:val="0"/>
        <w:pageBreakBefore w:val="0"/>
        <w:kinsoku/>
        <w:wordWrap/>
        <w:overflowPunct/>
        <w:topLinePunct w:val="0"/>
        <w:bidi w:val="0"/>
        <w:spacing w:line="36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土壤污染状况调查工作主要依据《建设用地土壤污染状况调查技术导则》（HJ 25.1-2019）中的工作程序，其调查的工作程序如下图所示：</w:t>
      </w:r>
    </w:p>
    <w:p w14:paraId="0C7F0B29">
      <w:pPr>
        <w:pStyle w:val="2"/>
        <w:keepNext w:val="0"/>
        <w:keepLines w:val="0"/>
        <w:pageBreakBefore w:val="0"/>
        <w:widowControl w:val="0"/>
        <w:kinsoku/>
        <w:wordWrap/>
        <w:overflowPunct/>
        <w:topLinePunct w:val="0"/>
        <w:autoSpaceDE/>
        <w:autoSpaceDN/>
        <w:bidi w:val="0"/>
        <w:adjustRightInd/>
        <w:snapToGrid/>
        <w:spacing w:after="0"/>
        <w:ind w:firstLine="0" w:firstLineChars="0"/>
        <w:jc w:val="both"/>
        <w:textAlignment w:val="auto"/>
        <w:rPr>
          <w:color w:val="auto"/>
        </w:rPr>
      </w:pPr>
      <w:r>
        <w:rPr>
          <w:color w:val="auto"/>
        </w:rPr>
        <w:drawing>
          <wp:inline distT="0" distB="0" distL="114300" distR="114300">
            <wp:extent cx="5010150" cy="6496050"/>
            <wp:effectExtent l="0" t="0" r="0" b="0"/>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16"/>
                    <a:stretch>
                      <a:fillRect/>
                    </a:stretch>
                  </pic:blipFill>
                  <pic:spPr>
                    <a:xfrm>
                      <a:off x="0" y="0"/>
                      <a:ext cx="5010150" cy="6496050"/>
                    </a:xfrm>
                    <a:prstGeom prst="rect">
                      <a:avLst/>
                    </a:prstGeom>
                    <a:noFill/>
                    <a:ln>
                      <a:noFill/>
                    </a:ln>
                  </pic:spPr>
                </pic:pic>
              </a:graphicData>
            </a:graphic>
          </wp:inline>
        </w:drawing>
      </w:r>
    </w:p>
    <w:p w14:paraId="1B6CA001">
      <w:pPr>
        <w:pStyle w:val="2"/>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图1.4-1土壤污染状况调查的工作内容与程序</w:t>
      </w:r>
    </w:p>
    <w:p w14:paraId="5BF3A3FF">
      <w:pPr>
        <w:bidi w:val="0"/>
        <w:rPr>
          <w:rFonts w:hint="eastAsia" w:ascii="仿宋" w:hAnsi="仿宋" w:eastAsia="仿宋" w:cs="仿宋"/>
          <w:color w:val="auto"/>
          <w:lang w:val="en-US" w:eastAsia="zh-CN"/>
        </w:rPr>
      </w:pPr>
      <w:bookmarkStart w:id="90" w:name="_Toc30142"/>
      <w:bookmarkStart w:id="91" w:name="_Toc2420"/>
      <w:bookmarkStart w:id="92" w:name="_Toc30146"/>
      <w:bookmarkStart w:id="93" w:name="_Toc12438"/>
      <w:bookmarkStart w:id="94" w:name="_Toc14930"/>
      <w:bookmarkStart w:id="95" w:name="_Toc29209"/>
      <w:bookmarkStart w:id="96" w:name="_Toc8608"/>
      <w:bookmarkStart w:id="97" w:name="_Toc31636"/>
      <w:bookmarkStart w:id="98" w:name="_Toc17615"/>
      <w:bookmarkStart w:id="99" w:name="_Toc4536"/>
      <w:r>
        <w:rPr>
          <w:rFonts w:hint="eastAsia" w:ascii="仿宋" w:hAnsi="仿宋" w:eastAsia="仿宋" w:cs="仿宋"/>
          <w:color w:val="auto"/>
        </w:rPr>
        <w:t>（1）资料收集与分析</w:t>
      </w:r>
      <w:bookmarkEnd w:id="90"/>
      <w:bookmarkEnd w:id="91"/>
      <w:bookmarkEnd w:id="92"/>
      <w:bookmarkEnd w:id="93"/>
      <w:bookmarkEnd w:id="94"/>
      <w:bookmarkEnd w:id="95"/>
      <w:bookmarkEnd w:id="96"/>
      <w:bookmarkEnd w:id="97"/>
      <w:bookmarkEnd w:id="98"/>
      <w:bookmarkEnd w:id="99"/>
    </w:p>
    <w:p w14:paraId="6E7FC9F5">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lang w:val="en-US" w:eastAsia="zh-CN"/>
        </w:rPr>
        <w:t>本次调查</w:t>
      </w:r>
      <w:r>
        <w:rPr>
          <w:rFonts w:hint="eastAsia" w:ascii="仿宋" w:hAnsi="仿宋" w:eastAsia="仿宋" w:cs="仿宋"/>
          <w:color w:val="auto"/>
        </w:rPr>
        <w:t>通过</w:t>
      </w:r>
      <w:r>
        <w:rPr>
          <w:rFonts w:hint="eastAsia" w:ascii="仿宋" w:hAnsi="仿宋" w:eastAsia="仿宋" w:cs="仿宋"/>
          <w:color w:val="auto"/>
          <w:lang w:val="en-US" w:eastAsia="zh-CN"/>
        </w:rPr>
        <w:t>走访企业</w:t>
      </w:r>
      <w:r>
        <w:rPr>
          <w:rFonts w:hint="eastAsia" w:ascii="仿宋" w:hAnsi="仿宋" w:eastAsia="仿宋" w:cs="仿宋"/>
          <w:color w:val="auto"/>
        </w:rPr>
        <w:t>收集地块相关的资料，了解地块历史和生产工艺，判断地块潜在污染区域，指导现场采样。资料的收集主要包括：地块利用变迁资料、地块环境资料、地块相关记录、有关政府文件、以及地块所在区域的自然和社会信息。</w:t>
      </w:r>
    </w:p>
    <w:p w14:paraId="1E379746">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rPr>
        <w:t>地块利用变迁资料包括：用来辨识地块及其相邻地块的开发及活动状况的航片或卫星图片，地块的土地使用和规划资料，其它有助于评价地块污染的历史资料，如土地登记信息资料等。地块利用变迁过程中的地块内建筑、设施、工艺流程和生产污染等的变化情况。</w:t>
      </w:r>
    </w:p>
    <w:p w14:paraId="0D201B7C">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rPr>
        <w:t>地块环境资料包括：地块土壤及地下水污染记录、地块危险废物堆放记录以及地块与自然保护区和水源地保护区等的位置关系等。</w:t>
      </w:r>
    </w:p>
    <w:p w14:paraId="1D3B29FE">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rPr>
        <w:t>地块相关记录包括：产品、原辅材料及中间体清单、平面布置图、工艺流程图、地下管线图、化学品储存及使用清单、泄漏记录、废物管理记录、地上及地下储罐清单、环境监测数据、环境影响报告书或表、环境审计报告和地勘报告等。</w:t>
      </w:r>
    </w:p>
    <w:p w14:paraId="526A3D7E">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rPr>
        <w:t>由政府机关和权威机构所保存和发布的环境资料，如区域环境保护规划、环境质量公告、企业在政府部门相关环境备案和批复以及生态和水源保护区规划等。</w:t>
      </w:r>
    </w:p>
    <w:p w14:paraId="3CBF748D">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rPr>
        <w:t>地块所在区域的自然和社会信息包括：自然信息包括地理位置图、地形、地貌、土壤、水文、地质和气象资料等；社会信息包括人口密度和分布，敏感目标分布，及土地利用方式，区域所在地的经济现状和发展规划，相关的国家和地方的政策、法规与标准，以及当地地方性疾病统计信息等。</w:t>
      </w:r>
    </w:p>
    <w:p w14:paraId="468237E9">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rPr>
        <w:t>资料分析：调查人员根据专业知识和经验识别资料中的错误和不合理的信息，资料缺失影响判断地块污染状况</w:t>
      </w:r>
      <w:r>
        <w:rPr>
          <w:rFonts w:hint="eastAsia" w:ascii="仿宋" w:hAnsi="仿宋" w:eastAsia="仿宋" w:cs="仿宋"/>
          <w:color w:val="auto"/>
          <w:lang w:val="en-US" w:eastAsia="zh-CN"/>
        </w:rPr>
        <w:t>的情况</w:t>
      </w:r>
      <w:r>
        <w:rPr>
          <w:rFonts w:hint="eastAsia" w:ascii="仿宋" w:hAnsi="仿宋" w:eastAsia="仿宋" w:cs="仿宋"/>
          <w:color w:val="auto"/>
        </w:rPr>
        <w:t>，</w:t>
      </w:r>
      <w:r>
        <w:rPr>
          <w:rFonts w:hint="eastAsia" w:ascii="仿宋" w:hAnsi="仿宋" w:eastAsia="仿宋" w:cs="仿宋"/>
          <w:color w:val="auto"/>
          <w:lang w:val="en-US" w:eastAsia="zh-CN"/>
        </w:rPr>
        <w:t>均</w:t>
      </w:r>
      <w:r>
        <w:rPr>
          <w:rFonts w:hint="eastAsia" w:ascii="仿宋" w:hAnsi="仿宋" w:eastAsia="仿宋" w:cs="仿宋"/>
          <w:color w:val="auto"/>
        </w:rPr>
        <w:t>在报告中说明。</w:t>
      </w:r>
    </w:p>
    <w:p w14:paraId="16AFF7D4">
      <w:pPr>
        <w:bidi w:val="0"/>
        <w:rPr>
          <w:rFonts w:hint="eastAsia" w:ascii="仿宋" w:hAnsi="仿宋" w:eastAsia="仿宋" w:cs="仿宋"/>
          <w:color w:val="auto"/>
        </w:rPr>
      </w:pPr>
      <w:bookmarkStart w:id="100" w:name="_Toc19405"/>
      <w:bookmarkStart w:id="101" w:name="_Toc6556"/>
      <w:bookmarkStart w:id="102" w:name="_Toc19569"/>
      <w:bookmarkStart w:id="103" w:name="_Toc13680"/>
      <w:bookmarkStart w:id="104" w:name="_Toc16367"/>
      <w:bookmarkStart w:id="105" w:name="_Toc2378"/>
      <w:bookmarkStart w:id="106" w:name="_Toc8536"/>
      <w:bookmarkStart w:id="107" w:name="_Toc19996"/>
      <w:bookmarkStart w:id="108" w:name="_Toc24237"/>
      <w:bookmarkStart w:id="109" w:name="_Toc31517"/>
      <w:r>
        <w:rPr>
          <w:rFonts w:hint="eastAsia" w:ascii="仿宋" w:hAnsi="仿宋" w:eastAsia="仿宋" w:cs="仿宋"/>
          <w:color w:val="auto"/>
        </w:rPr>
        <w:t>（2）现场踏勘</w:t>
      </w:r>
      <w:bookmarkEnd w:id="100"/>
      <w:bookmarkEnd w:id="101"/>
      <w:bookmarkEnd w:id="102"/>
      <w:bookmarkEnd w:id="103"/>
      <w:bookmarkEnd w:id="104"/>
      <w:bookmarkEnd w:id="105"/>
      <w:bookmarkEnd w:id="106"/>
      <w:bookmarkEnd w:id="107"/>
      <w:bookmarkEnd w:id="108"/>
      <w:bookmarkEnd w:id="109"/>
    </w:p>
    <w:p w14:paraId="0052AF8D">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lang w:val="en-US" w:eastAsia="zh-CN"/>
        </w:rPr>
        <w:t>本次调查</w:t>
      </w:r>
      <w:r>
        <w:rPr>
          <w:rFonts w:hint="eastAsia" w:ascii="仿宋" w:hAnsi="仿宋" w:eastAsia="仿宋" w:cs="仿宋"/>
          <w:color w:val="auto"/>
        </w:rPr>
        <w:t>现场踏勘</w:t>
      </w:r>
      <w:r>
        <w:rPr>
          <w:rFonts w:hint="eastAsia" w:ascii="仿宋" w:hAnsi="仿宋" w:eastAsia="仿宋" w:cs="仿宋"/>
          <w:color w:val="auto"/>
          <w:lang w:val="en-US" w:eastAsia="zh-CN"/>
        </w:rPr>
        <w:t>均</w:t>
      </w:r>
      <w:r>
        <w:rPr>
          <w:rFonts w:hint="eastAsia" w:ascii="仿宋" w:hAnsi="仿宋" w:eastAsia="仿宋" w:cs="仿宋"/>
          <w:color w:val="auto"/>
        </w:rPr>
        <w:t>做</w:t>
      </w:r>
      <w:r>
        <w:rPr>
          <w:rFonts w:hint="eastAsia" w:ascii="仿宋" w:hAnsi="仿宋" w:eastAsia="仿宋" w:cs="仿宋"/>
          <w:color w:val="auto"/>
          <w:lang w:val="en-US" w:eastAsia="zh-CN"/>
        </w:rPr>
        <w:t>了</w:t>
      </w:r>
      <w:r>
        <w:rPr>
          <w:rFonts w:hint="eastAsia" w:ascii="仿宋" w:hAnsi="仿宋" w:eastAsia="仿宋" w:cs="仿宋"/>
          <w:color w:val="auto"/>
        </w:rPr>
        <w:t>相应的安全防护，踏勘范围以地块内为主，了解地块的现状与历史情况，相邻地块的现状与历史情况，周围区域的现状与历史情况，区域的地质、水文地质和地形的描述等，分析潜在的污染区域范围。</w:t>
      </w:r>
    </w:p>
    <w:p w14:paraId="30973D7B">
      <w:pPr>
        <w:bidi w:val="0"/>
        <w:rPr>
          <w:rFonts w:hint="eastAsia" w:ascii="仿宋" w:hAnsi="仿宋" w:eastAsia="仿宋" w:cs="仿宋"/>
          <w:color w:val="auto"/>
        </w:rPr>
      </w:pPr>
      <w:bookmarkStart w:id="110" w:name="_Toc11773"/>
      <w:bookmarkStart w:id="111" w:name="_Toc25985"/>
      <w:bookmarkStart w:id="112" w:name="_Toc18865"/>
      <w:bookmarkStart w:id="113" w:name="_Toc12726"/>
      <w:bookmarkStart w:id="114" w:name="_Toc8428"/>
      <w:bookmarkStart w:id="115" w:name="_Toc26083"/>
      <w:bookmarkStart w:id="116" w:name="_Toc12249"/>
      <w:bookmarkStart w:id="117" w:name="_Toc8192"/>
      <w:bookmarkStart w:id="118" w:name="_Toc250"/>
      <w:bookmarkStart w:id="119" w:name="_Toc27259"/>
      <w:r>
        <w:rPr>
          <w:rFonts w:hint="eastAsia" w:ascii="仿宋" w:hAnsi="仿宋" w:eastAsia="仿宋" w:cs="仿宋"/>
          <w:color w:val="auto"/>
        </w:rPr>
        <w:t>（3）人员访谈</w:t>
      </w:r>
      <w:bookmarkEnd w:id="110"/>
      <w:bookmarkEnd w:id="111"/>
      <w:bookmarkEnd w:id="112"/>
      <w:bookmarkEnd w:id="113"/>
      <w:bookmarkEnd w:id="114"/>
      <w:bookmarkEnd w:id="115"/>
      <w:bookmarkEnd w:id="116"/>
      <w:bookmarkEnd w:id="117"/>
      <w:bookmarkEnd w:id="118"/>
      <w:bookmarkEnd w:id="119"/>
    </w:p>
    <w:p w14:paraId="08FFAAF5">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lang w:val="en-US" w:eastAsia="zh-CN"/>
        </w:rPr>
        <w:t>本次调查</w:t>
      </w:r>
      <w:r>
        <w:rPr>
          <w:rFonts w:hint="eastAsia" w:ascii="仿宋" w:hAnsi="仿宋" w:eastAsia="仿宋" w:cs="仿宋"/>
          <w:color w:val="auto"/>
        </w:rPr>
        <w:t>通过对</w:t>
      </w:r>
      <w:r>
        <w:rPr>
          <w:rFonts w:hint="eastAsia" w:ascii="仿宋" w:hAnsi="仿宋" w:eastAsia="仿宋" w:cs="仿宋"/>
          <w:color w:val="auto"/>
          <w:lang w:val="en-US" w:eastAsia="zh-CN"/>
        </w:rPr>
        <w:t>熟悉</w:t>
      </w:r>
      <w:r>
        <w:rPr>
          <w:rFonts w:hint="eastAsia" w:ascii="仿宋" w:hAnsi="仿宋" w:eastAsia="仿宋" w:cs="仿宋"/>
          <w:color w:val="auto"/>
        </w:rPr>
        <w:t>地块现状和历史的知情人进行访谈，对资料收集和现场踏勘所涉及的疑问，</w:t>
      </w:r>
      <w:r>
        <w:rPr>
          <w:rFonts w:hint="eastAsia" w:ascii="仿宋" w:hAnsi="仿宋" w:eastAsia="仿宋" w:cs="仿宋"/>
          <w:color w:val="auto"/>
          <w:lang w:val="en-US" w:eastAsia="zh-CN"/>
        </w:rPr>
        <w:t>进行</w:t>
      </w:r>
      <w:r>
        <w:rPr>
          <w:rFonts w:hint="eastAsia" w:ascii="仿宋" w:hAnsi="仿宋" w:eastAsia="仿宋" w:cs="仿宋"/>
          <w:color w:val="auto"/>
        </w:rPr>
        <w:t>信息补充和考证已有资料。</w:t>
      </w:r>
    </w:p>
    <w:p w14:paraId="1EE041AF">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rPr>
        <w:t>本阶段调查结论</w:t>
      </w:r>
      <w:r>
        <w:rPr>
          <w:rFonts w:hint="eastAsia" w:ascii="仿宋" w:hAnsi="仿宋" w:eastAsia="仿宋" w:cs="仿宋"/>
          <w:color w:val="auto"/>
          <w:lang w:val="en-US" w:eastAsia="zh-CN"/>
        </w:rPr>
        <w:t>中</w:t>
      </w:r>
      <w:r>
        <w:rPr>
          <w:rFonts w:hint="eastAsia" w:ascii="仿宋" w:hAnsi="仿宋" w:eastAsia="仿宋" w:cs="仿宋"/>
          <w:color w:val="auto"/>
        </w:rPr>
        <w:t>明确</w:t>
      </w:r>
      <w:r>
        <w:rPr>
          <w:rFonts w:hint="eastAsia" w:ascii="仿宋" w:hAnsi="仿宋" w:eastAsia="仿宋" w:cs="仿宋"/>
          <w:color w:val="auto"/>
          <w:lang w:val="en-US" w:eastAsia="zh-CN"/>
        </w:rPr>
        <w:t>了</w:t>
      </w:r>
      <w:r>
        <w:rPr>
          <w:rFonts w:hint="eastAsia" w:ascii="仿宋" w:hAnsi="仿宋" w:eastAsia="仿宋" w:cs="仿宋"/>
          <w:color w:val="auto"/>
        </w:rPr>
        <w:t>地块内及周围区域有无可能的污染源，并进行不确定性分析。若有可能的污染源，说明可能的污染类型、污染状况和来源，并提出第二阶段土壤污染状况调查的建议。</w:t>
      </w:r>
    </w:p>
    <w:p w14:paraId="3CCCF597">
      <w:pPr>
        <w:bidi w:val="0"/>
        <w:rPr>
          <w:rFonts w:hint="eastAsia" w:ascii="仿宋" w:hAnsi="仿宋" w:eastAsia="仿宋" w:cs="仿宋"/>
          <w:color w:val="auto"/>
        </w:rPr>
      </w:pPr>
      <w:bookmarkStart w:id="120" w:name="_Toc30506"/>
      <w:bookmarkStart w:id="121" w:name="_Toc6597"/>
      <w:bookmarkStart w:id="122" w:name="_Toc11481"/>
      <w:bookmarkStart w:id="123" w:name="_Toc17516"/>
      <w:bookmarkStart w:id="124" w:name="_Toc705"/>
      <w:bookmarkStart w:id="125" w:name="_Toc22990"/>
      <w:bookmarkStart w:id="126" w:name="_Toc7091"/>
      <w:bookmarkStart w:id="127" w:name="_Toc558"/>
      <w:bookmarkStart w:id="128" w:name="_Toc4395"/>
      <w:bookmarkStart w:id="129" w:name="_Toc26479"/>
      <w:r>
        <w:rPr>
          <w:rFonts w:hint="eastAsia" w:ascii="仿宋" w:hAnsi="仿宋" w:eastAsia="仿宋" w:cs="仿宋"/>
          <w:color w:val="auto"/>
        </w:rPr>
        <w:t>（4）制定采样分析方案</w:t>
      </w:r>
      <w:bookmarkEnd w:id="120"/>
      <w:bookmarkEnd w:id="121"/>
      <w:bookmarkEnd w:id="122"/>
      <w:bookmarkEnd w:id="123"/>
      <w:bookmarkEnd w:id="124"/>
      <w:bookmarkEnd w:id="125"/>
      <w:bookmarkEnd w:id="126"/>
      <w:bookmarkEnd w:id="127"/>
      <w:bookmarkEnd w:id="128"/>
      <w:bookmarkEnd w:id="129"/>
    </w:p>
    <w:p w14:paraId="199EFEB0">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rPr>
        <w:t>根据污染来源的可能性和地块历史变迁资料以及现场踏勘情况，导则要求，制定针对地块的具体工作方案。包括核查已有信息、制定初步监测采样方案、制定健康和安全防护措施、制定样品分析方案、制定质量保证和质量控制等工作内容。</w:t>
      </w:r>
    </w:p>
    <w:p w14:paraId="3F4CCCD4">
      <w:pPr>
        <w:bidi w:val="0"/>
        <w:rPr>
          <w:rFonts w:hint="eastAsia" w:ascii="仿宋" w:hAnsi="仿宋" w:eastAsia="仿宋" w:cs="仿宋"/>
          <w:color w:val="auto"/>
        </w:rPr>
      </w:pPr>
      <w:bookmarkStart w:id="130" w:name="_Toc31579"/>
      <w:bookmarkStart w:id="131" w:name="_Toc14794"/>
      <w:bookmarkStart w:id="132" w:name="_Toc21486"/>
      <w:bookmarkStart w:id="133" w:name="_Toc31558"/>
      <w:bookmarkStart w:id="134" w:name="_Toc22952"/>
      <w:bookmarkStart w:id="135" w:name="_Toc18957"/>
      <w:bookmarkStart w:id="136" w:name="_Toc9466"/>
      <w:bookmarkStart w:id="137" w:name="_Toc16066"/>
      <w:bookmarkStart w:id="138" w:name="_Toc16805"/>
      <w:bookmarkStart w:id="139" w:name="_Toc12286"/>
      <w:r>
        <w:rPr>
          <w:rFonts w:hint="eastAsia" w:ascii="仿宋" w:hAnsi="仿宋" w:eastAsia="仿宋" w:cs="仿宋"/>
          <w:color w:val="auto"/>
        </w:rPr>
        <w:t>（5）现场采样和实验室分析</w:t>
      </w:r>
      <w:bookmarkEnd w:id="130"/>
      <w:bookmarkEnd w:id="131"/>
      <w:bookmarkEnd w:id="132"/>
      <w:bookmarkEnd w:id="133"/>
      <w:bookmarkEnd w:id="134"/>
      <w:bookmarkEnd w:id="135"/>
      <w:bookmarkEnd w:id="136"/>
      <w:bookmarkEnd w:id="137"/>
      <w:bookmarkEnd w:id="138"/>
      <w:bookmarkEnd w:id="139"/>
    </w:p>
    <w:p w14:paraId="238DAAD3">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auto"/>
        </w:rPr>
      </w:pPr>
      <w:r>
        <w:rPr>
          <w:rFonts w:hint="eastAsia" w:ascii="仿宋" w:hAnsi="仿宋" w:eastAsia="仿宋" w:cs="仿宋"/>
          <w:color w:val="auto"/>
        </w:rPr>
        <w:t>依据采样方案进行现场钻探取样工作，样品由委托的实验室负责采样和分析，依据实验室数据和现场实际生产情况，分析现场污染状况，得出地块是否存在污染的结论，并提出可行性建议。</w:t>
      </w:r>
    </w:p>
    <w:p w14:paraId="7E2C433C">
      <w:bookmarkStart w:id="140" w:name="_GoBack"/>
      <w:bookmarkEnd w:id="140"/>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952DD">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87"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FDC7E1">
                          <w:pPr>
                            <w:pStyle w:val="5"/>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NMHfiDgAQAAwQMAAA4AAAAA&#10;AAAAAQAgAAAAHgEAAGRycy9lMm9Eb2MueG1sUEsFBgAAAAAGAAYAWQEAAHAFAAAAAA==&#10;">
              <v:fill on="f" focussize="0,0"/>
              <v:stroke on="f"/>
              <v:imagedata o:title=""/>
              <o:lock v:ext="edit" aspectratio="f"/>
              <v:textbox inset="0mm,0mm,0mm,0mm" style="mso-fit-shape-to-text:t;">
                <w:txbxContent>
                  <w:p w14:paraId="41FDC7E1">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7A2E3">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9073C">
    <w:pPr>
      <w:widowControl w:val="0"/>
      <w:autoSpaceDE w:val="0"/>
      <w:autoSpaceDN w:val="0"/>
      <w:spacing w:before="0" w:after="0" w:line="14" w:lineRule="auto"/>
      <w:ind w:left="0" w:right="0"/>
      <w:jc w:val="left"/>
      <w:rPr>
        <w:rFonts w:ascii="宋体" w:hAnsi="宋体" w:eastAsia="宋体" w:cs="宋体"/>
        <w:sz w:val="20"/>
        <w:szCs w:val="24"/>
        <w:lang w:val="zh-CN" w:eastAsia="zh-CN" w:bidi="zh-CN"/>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88"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315B66">
                          <w:pPr>
                            <w:pStyle w:val="5"/>
                          </w:pPr>
                          <w:r>
                            <w:t xml:space="preserve">— </w:t>
                          </w:r>
                          <w:r>
                            <w:fldChar w:fldCharType="begin"/>
                          </w:r>
                          <w:r>
                            <w:instrText xml:space="preserve"> PAGE  \* MERGEFORMAT </w:instrText>
                          </w:r>
                          <w:r>
                            <w:fldChar w:fldCharType="separate"/>
                          </w:r>
                          <w:r>
                            <w:t>1</w:t>
                          </w:r>
                          <w:r>
                            <w:fldChar w:fldCharType="end"/>
                          </w:r>
                          <w:r>
                            <w:t xml:space="preserve"> —</w:t>
                          </w:r>
                        </w:p>
                      </w:txbxContent>
                    </wps:txbx>
                    <wps:bodyPr vert="horz" wrap="none" lIns="0" tIns="0" rIns="0" bIns="0" anchor="t" anchorCtr="0" upright="0">
                      <a:spAutoFit/>
                    </wps:bodyPr>
                  </wps:wsp>
                </a:graphicData>
              </a:graphic>
            </wp:anchor>
          </w:drawing>
        </mc:Choice>
        <mc:Fallback>
          <w:pict>
            <v:shape id="文本框 2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FZa1FHgAQAAwQMAAA4AAAAA&#10;AAAAAQAgAAAAHgEAAGRycy9lMm9Eb2MueG1sUEsFBgAAAAAGAAYAWQEAAHAFAAAAAA==&#10;">
              <v:fill on="f" focussize="0,0"/>
              <v:stroke on="f"/>
              <v:imagedata o:title=""/>
              <o:lock v:ext="edit" aspectratio="f"/>
              <v:textbox inset="0mm,0mm,0mm,0mm" style="mso-fit-shape-to-text:t;">
                <w:txbxContent>
                  <w:p w14:paraId="36315B66">
                    <w:pPr>
                      <w:pStyle w:val="5"/>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BFE68">
    <w:pPr>
      <w:pStyle w:val="6"/>
      <w:pBdr>
        <w:bottom w:val="none" w:color="auto" w:sz="0" w:space="1"/>
      </w:pBdr>
      <w:ind w:left="0" w:leftChars="0" w:firstLine="0" w:firstLineChars="0"/>
      <w:jc w:val="center"/>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AFE0A">
    <w:pPr>
      <w:pStyle w:val="6"/>
      <w:pBdr>
        <w:bottom w:val="single" w:color="auto" w:sz="4" w:space="1"/>
      </w:pBdr>
      <w:ind w:left="0" w:leftChars="0" w:firstLine="0" w:firstLineChars="0"/>
      <w:jc w:val="center"/>
      <w:rPr>
        <w:sz w:val="18"/>
        <w:szCs w:val="18"/>
      </w:rPr>
    </w:pPr>
    <w:r>
      <w:rPr>
        <w:rFonts w:hint="eastAsia" w:cs="Times New Roman"/>
        <w:sz w:val="18"/>
        <w:szCs w:val="18"/>
        <w:lang w:val="en-US" w:eastAsia="zh-CN"/>
      </w:rPr>
      <w:t>原南通岸西化工有限公司地块土壤污染状况</w:t>
    </w:r>
    <w:r>
      <w:rPr>
        <w:rFonts w:hint="default" w:ascii="Times New Roman" w:hAnsi="Times New Roman" w:eastAsia="宋体" w:cs="Times New Roman"/>
        <w:sz w:val="18"/>
        <w:szCs w:val="18"/>
        <w:lang w:val="en-US" w:eastAsia="zh-CN"/>
      </w:rPr>
      <w:t>调查报告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26D7B">
    <w:pPr>
      <w:pStyle w:val="6"/>
      <w:pBdr>
        <w:bottom w:val="none" w:color="auto" w:sz="0" w:space="1"/>
      </w:pBdr>
      <w:ind w:left="0" w:leftChars="0" w:firstLine="0" w:firstLineChars="0"/>
      <w:jc w:val="center"/>
      <w:rPr>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0A1D5">
    <w:pPr>
      <w:pStyle w:val="6"/>
      <w:pBdr>
        <w:bottom w:val="single" w:color="auto" w:sz="4" w:space="1"/>
      </w:pBdr>
      <w:ind w:left="0" w:leftChars="0" w:firstLine="0" w:firstLineChars="0"/>
      <w:jc w:val="center"/>
      <w:rPr>
        <w:sz w:val="18"/>
        <w:szCs w:val="18"/>
      </w:rPr>
    </w:pPr>
    <w:r>
      <w:rPr>
        <w:rFonts w:hint="eastAsia" w:cs="Times New Roman"/>
        <w:sz w:val="18"/>
        <w:szCs w:val="18"/>
        <w:lang w:val="en-US" w:eastAsia="zh-CN"/>
      </w:rPr>
      <w:t>原南通岸西化工有限公司地块</w:t>
    </w:r>
    <w:r>
      <w:rPr>
        <w:rFonts w:hint="default" w:ascii="Times New Roman" w:hAnsi="Times New Roman" w:eastAsia="宋体" w:cs="Times New Roman"/>
        <w:sz w:val="18"/>
        <w:szCs w:val="18"/>
        <w:lang w:val="en-US" w:eastAsia="zh-CN"/>
      </w:rPr>
      <w:t>土壤污染状况调查报告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4DDD31"/>
    <w:multiLevelType w:val="singleLevel"/>
    <w:tmpl w:val="884DDD31"/>
    <w:lvl w:ilvl="0" w:tentative="0">
      <w:start w:val="1"/>
      <w:numFmt w:val="bullet"/>
      <w:pStyle w:val="4"/>
      <w:lvlText w:val=""/>
      <w:lvlJc w:val="left"/>
      <w:pPr>
        <w:tabs>
          <w:tab w:val="left" w:pos="2040"/>
        </w:tabs>
        <w:ind w:left="2040" w:hanging="360"/>
      </w:pPr>
      <w:rPr>
        <w:rFonts w:hint="default" w:ascii="Wingdings" w:hAnsi="Wingdings"/>
      </w:rPr>
    </w:lvl>
  </w:abstractNum>
  <w:abstractNum w:abstractNumId="1">
    <w:nsid w:val="061B2D84"/>
    <w:multiLevelType w:val="singleLevel"/>
    <w:tmpl w:val="061B2D84"/>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7B0489"/>
    <w:rsid w:val="037B04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880" w:firstLineChars="200"/>
      <w:jc w:val="both"/>
    </w:pPr>
    <w:rPr>
      <w:rFonts w:ascii="Times New Roman" w:hAnsi="Times New Roman" w:eastAsia="宋体" w:cs="Times New Roman"/>
      <w:kern w:val="2"/>
      <w:sz w:val="24"/>
      <w:szCs w:val="20"/>
      <w:lang w:val="en-US" w:eastAsia="zh-CN" w:bidi="ar-SA"/>
    </w:rPr>
  </w:style>
  <w:style w:type="character" w:default="1" w:styleId="14">
    <w:name w:val="Default Paragraph Font"/>
    <w:semiHidden/>
    <w:uiPriority w:val="0"/>
  </w:style>
  <w:style w:type="table" w:default="1" w:styleId="12">
    <w:name w:val="Normal Table"/>
    <w:semiHidden/>
    <w:uiPriority w:val="0"/>
    <w:tblPr>
      <w:tblCellMar>
        <w:top w:w="0" w:type="dxa"/>
        <w:left w:w="108" w:type="dxa"/>
        <w:bottom w:w="0" w:type="dxa"/>
        <w:right w:w="108" w:type="dxa"/>
      </w:tblCellMar>
    </w:tblPr>
  </w:style>
  <w:style w:type="paragraph" w:styleId="2">
    <w:name w:val="Body Text"/>
    <w:basedOn w:val="1"/>
    <w:next w:val="1"/>
    <w:qFormat/>
    <w:uiPriority w:val="0"/>
    <w:pPr>
      <w:spacing w:after="120" w:afterLines="0" w:afterAutospacing="0"/>
    </w:pPr>
  </w:style>
  <w:style w:type="paragraph" w:styleId="3">
    <w:name w:val="Body Text Indent"/>
    <w:basedOn w:val="1"/>
    <w:next w:val="1"/>
    <w:qFormat/>
    <w:uiPriority w:val="0"/>
    <w:pPr>
      <w:spacing w:after="120" w:afterLines="0" w:afterAutospacing="0"/>
      <w:ind w:left="420" w:leftChars="200"/>
    </w:pPr>
  </w:style>
  <w:style w:type="paragraph" w:styleId="4">
    <w:name w:val="List Bullet 5"/>
    <w:basedOn w:val="1"/>
    <w:uiPriority w:val="0"/>
    <w:pPr>
      <w:numPr>
        <w:ilvl w:val="0"/>
        <w:numId w:val="1"/>
      </w:numPr>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styleId="9">
    <w:name w:val="Normal (Web)"/>
    <w:basedOn w:val="1"/>
    <w:unhideWhenUsed/>
    <w:qFormat/>
    <w:uiPriority w:val="0"/>
    <w:pPr>
      <w:widowControl/>
      <w:spacing w:before="100" w:beforeAutospacing="1" w:after="100" w:afterAutospacing="1" w:line="240" w:lineRule="auto"/>
      <w:ind w:firstLine="0" w:firstLineChars="0"/>
      <w:jc w:val="left"/>
    </w:pPr>
    <w:rPr>
      <w:rFonts w:ascii="宋体" w:hAnsi="宋体" w:cs="宋体"/>
      <w:kern w:val="0"/>
      <w:sz w:val="24"/>
      <w:szCs w:val="24"/>
    </w:rPr>
  </w:style>
  <w:style w:type="paragraph" w:styleId="10">
    <w:name w:val="Body Text First Indent"/>
    <w:basedOn w:val="2"/>
    <w:qFormat/>
    <w:uiPriority w:val="0"/>
    <w:pPr>
      <w:ind w:firstLine="420" w:firstLineChars="100"/>
    </w:pPr>
  </w:style>
  <w:style w:type="paragraph" w:styleId="11">
    <w:name w:val="Body Text First Indent 2"/>
    <w:basedOn w:val="3"/>
    <w:next w:val="10"/>
    <w:qFormat/>
    <w:uiPriority w:val="0"/>
    <w:pPr>
      <w:ind w:left="0" w:leftChars="0" w:firstLine="420" w:firstLineChars="200"/>
      <w:jc w:val="center"/>
    </w:pPr>
    <w:rPr>
      <w:rFonts w:ascii="Times New Roman" w:hAnsi="Times New Roman"/>
      <w:sz w:val="24"/>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
    <w:name w:val="其他文本"/>
    <w:basedOn w:val="1"/>
    <w:qFormat/>
    <w:uiPriority w:val="0"/>
    <w:pPr>
      <w:ind w:firstLine="0" w:firstLineChars="0"/>
      <w:jc w:val="center"/>
    </w:pPr>
    <w:rPr>
      <w:b/>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4.pn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0</Words>
  <Characters>0</Characters>
  <Lines>0</Lines>
  <Paragraphs>0</Paragraphs>
  <TotalTime>0</TotalTime>
  <ScaleCrop>false</ScaleCrop>
  <LinksUpToDate>false</LinksUpToDate>
  <CharactersWithSpaces>0</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2024-11-28T02:09:00Z</dcterms:created>
  <dc:creator>柠檬</dc:creator>
  <cp:lastModifiedBy>柠檬</cp:lastModifiedBy>
  <dcterms:modified xsi:type="dcterms:W3CDTF">2024-11-28T02:09:15Z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9B48A79274574463ACD30AF8428BD4B0_11</vt:lpwstr>
  </property>
</Properties>
</file>