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outlineLvl w:val="0"/>
        <w:rPr>
          <w:rFonts w:hint="eastAsia" w:ascii="仿宋" w:hAnsi="仿宋" w:eastAsia="仿宋" w:cs="仿宋"/>
          <w:b/>
          <w:bCs/>
          <w:color w:val="auto"/>
          <w:sz w:val="48"/>
          <w:szCs w:val="36"/>
          <w:lang w:val="en-US" w:eastAsia="zh-CN"/>
        </w:rPr>
      </w:pPr>
      <w:bookmarkStart w:id="0" w:name="_Toc28537"/>
      <w:bookmarkStart w:id="1" w:name="_Toc5691"/>
      <w:bookmarkStart w:id="2" w:name="_Toc25350"/>
      <w:bookmarkStart w:id="3" w:name="_Toc32371"/>
      <w:r>
        <w:rPr>
          <w:rFonts w:hint="eastAsia" w:ascii="仿宋" w:hAnsi="仿宋" w:eastAsia="仿宋" w:cs="仿宋"/>
          <w:b/>
          <w:bCs/>
          <w:color w:val="auto"/>
          <w:sz w:val="48"/>
          <w:szCs w:val="36"/>
          <w:lang w:val="en-US" w:eastAsia="zh-CN"/>
        </w:rPr>
        <w:t>摘 要</w:t>
      </w:r>
      <w:bookmarkEnd w:id="0"/>
      <w:bookmarkEnd w:id="1"/>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仿宋" w:hAnsi="仿宋" w:eastAsia="仿宋" w:cs="仿宋"/>
          <w:b w:val="0"/>
          <w:bCs w:val="0"/>
          <w:color w:val="auto"/>
          <w:sz w:val="24"/>
          <w:szCs w:val="32"/>
          <w:lang w:val="en-US" w:eastAsia="zh-CN"/>
        </w:rPr>
      </w:pPr>
      <w:r>
        <w:rPr>
          <w:rFonts w:hint="eastAsia" w:ascii="仿宋" w:hAnsi="仿宋" w:eastAsia="仿宋" w:cs="仿宋"/>
          <w:color w:val="auto"/>
          <w:sz w:val="24"/>
          <w:szCs w:val="24"/>
          <w:lang w:val="en-US" w:eastAsia="zh-CN"/>
        </w:rPr>
        <w:t>原南通新兴色织有限公司地块</w:t>
      </w:r>
      <w:r>
        <w:rPr>
          <w:rFonts w:hint="eastAsia" w:ascii="仿宋" w:hAnsi="仿宋" w:eastAsia="仿宋" w:cs="仿宋"/>
          <w:b w:val="0"/>
          <w:bCs w:val="0"/>
          <w:color w:val="auto"/>
          <w:sz w:val="24"/>
          <w:szCs w:val="32"/>
          <w:lang w:val="en-US" w:eastAsia="zh-CN"/>
        </w:rPr>
        <w:t>位于南通市崇川经济开发区，通甲路以南、通富北路以西。本次调查范围东至通富北路，西至南通双联纺织有限公司，南至驾空地，北至通甲路。本次调查地块总占地面积10530m</w:t>
      </w:r>
      <w:r>
        <w:rPr>
          <w:rFonts w:hint="eastAsia" w:ascii="仿宋" w:hAnsi="仿宋" w:eastAsia="仿宋" w:cs="仿宋"/>
          <w:b w:val="0"/>
          <w:bCs w:val="0"/>
          <w:color w:val="auto"/>
          <w:sz w:val="24"/>
          <w:szCs w:val="32"/>
          <w:vertAlign w:val="superscript"/>
          <w:lang w:val="en-US" w:eastAsia="zh-CN"/>
        </w:rPr>
        <w:t>2</w:t>
      </w:r>
      <w:r>
        <w:rPr>
          <w:rFonts w:hint="eastAsia" w:ascii="仿宋" w:hAnsi="仿宋" w:eastAsia="仿宋" w:cs="仿宋"/>
          <w:b w:val="0"/>
          <w:bCs w:val="0"/>
          <w:color w:val="auto"/>
          <w:sz w:val="24"/>
          <w:szCs w:val="32"/>
          <w:lang w:val="en-US" w:eastAsia="zh-CN"/>
        </w:rPr>
        <w:t>（约15.8亩），用地性质为集体用地。根据《南通市崇川区控制性详细规划（2021.12.07）》，该地块未来规划为居住用地（R21），属《土壤环境质量 建设用地土壤污染风险管控标准（试行）》（GB36600-2018）中规定的第一类用地。</w:t>
      </w:r>
    </w:p>
    <w:p>
      <w:pPr>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本次调查地块属于《关于发布崇川区重点行业企业用地调查高风险遗留地块管控区域的公告》中规定的高风险遗留地块，虽已经停产，但地块内仍有建（构）筑物，导致部分疑似污染区域不具备布点采样条件。根据《省生态环境厅 省自然资源厅 省工业和信息化厅关于进一步加强化工等企业关闭遗留地块土壤污染风险管控工作的通知》（苏环办〔2022〕341号）和关于印发《南通市化工等企业关闭遗留地块土壤污染风险管控工作整改方案》的通知（通环办〔2023〕8号）要求，“根据高风险遗留地块开发利用现状，分类推进土壤污染状况调查。对仍有建（构）筑物、设施设备等情况导致部分疑似污染区域不具备布点采样条件的，在不影响有关建（构）筑物、设施设备正常使用，且不存在安全隐患和二次污染的条件下，调查布点应尽可能接近疑似污染区域，并充分论证未能采样区域对调查结论的影响，此类调查报告仅作为地块当前土壤环境质量和风险管控参考（简称“现状调查”），后续土地使用权收回、转让或用途变更时要依法依规开展补充调查。”因此，南通崇川经济开发区管理委员会委托江苏标普检测科技有限公司开展本地块土壤污染状况调查工作。我司组织项目组成员对调查地块进行现场踏勘、调查，收集了有关资料，并委托上海杰狼环保科技工程有限公司进行现场钻探取样工作。样品采集及样品检测分析由江苏光质检测科技有限公司（具有CMA资质）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ind w:left="480" w:leftChars="0"/>
        <w:textAlignment w:val="auto"/>
        <w:outlineLvl w:val="9"/>
        <w:rPr>
          <w:rFonts w:hint="eastAsia" w:ascii="仿宋" w:hAnsi="仿宋" w:eastAsia="仿宋" w:cs="仿宋"/>
          <w:b/>
          <w:bCs/>
          <w:color w:val="auto"/>
          <w:sz w:val="24"/>
          <w:szCs w:val="24"/>
          <w:lang w:val="en-US" w:eastAsia="zh-CN"/>
        </w:rPr>
      </w:pPr>
      <w:bookmarkStart w:id="4" w:name="_Toc249"/>
      <w:bookmarkStart w:id="5" w:name="_Toc5347"/>
      <w:r>
        <w:rPr>
          <w:rFonts w:hint="eastAsia" w:ascii="仿宋" w:hAnsi="仿宋" w:eastAsia="仿宋" w:cs="仿宋"/>
          <w:b/>
          <w:bCs/>
          <w:color w:val="auto"/>
          <w:sz w:val="24"/>
          <w:szCs w:val="24"/>
          <w:lang w:val="en-US" w:eastAsia="zh-CN"/>
        </w:rPr>
        <w:t>一、第一阶段土壤污染状况调查</w:t>
      </w:r>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第一阶段调查工作开展时间为2023年5月5日，根据调查情况，早期地块为空地，1996年地块内开始建设南通新兴拉绒整理有限公司，</w:t>
      </w:r>
      <w:r>
        <w:rPr>
          <w:rFonts w:hint="eastAsia" w:ascii="仿宋" w:hAnsi="仿宋" w:eastAsia="仿宋" w:cs="仿宋"/>
          <w:b w:val="0"/>
          <w:bCs w:val="0"/>
          <w:color w:val="auto"/>
          <w:kern w:val="2"/>
          <w:sz w:val="24"/>
          <w:szCs w:val="32"/>
          <w:lang w:val="en-US" w:eastAsia="zh-CN" w:bidi="ar-SA"/>
        </w:rPr>
        <w:t>后更名为</w:t>
      </w:r>
      <w:r>
        <w:rPr>
          <w:rFonts w:hint="eastAsia" w:ascii="仿宋" w:hAnsi="仿宋" w:eastAsia="仿宋" w:cs="仿宋"/>
          <w:color w:val="auto"/>
          <w:sz w:val="24"/>
          <w:szCs w:val="24"/>
          <w:lang w:val="en-US" w:eastAsia="zh-CN"/>
        </w:rPr>
        <w:t>南通新兴色织有限公司，经营范围包括针纺织品及棉纱的生产、销售；各种色织布整理。南通新兴色织有限公司于2017年停产，织布车间出租用作废品回收站使用，其他车间闲置。根据污染因子识别结果，地块内潜在污染物为</w:t>
      </w:r>
      <w:r>
        <w:rPr>
          <w:rFonts w:hint="eastAsia" w:ascii="仿宋" w:hAnsi="仿宋" w:eastAsia="仿宋" w:cs="仿宋"/>
          <w:b w:val="0"/>
          <w:bCs w:val="0"/>
          <w:color w:val="auto"/>
          <w:kern w:val="2"/>
          <w:sz w:val="24"/>
          <w:szCs w:val="32"/>
          <w:lang w:val="en-US" w:eastAsia="zh-CN" w:bidi="ar-SA"/>
        </w:rPr>
        <w:t>pH、色度、COD、氨氮、总磷、AOX、硫化物、氯化物、苯并[a]芘、汞及其化合物、苯胺、石油烃（C</w:t>
      </w:r>
      <w:r>
        <w:rPr>
          <w:rFonts w:hint="eastAsia" w:ascii="仿宋" w:hAnsi="仿宋" w:eastAsia="仿宋" w:cs="仿宋"/>
          <w:b w:val="0"/>
          <w:bCs w:val="0"/>
          <w:color w:val="auto"/>
          <w:kern w:val="2"/>
          <w:sz w:val="24"/>
          <w:szCs w:val="32"/>
          <w:vertAlign w:val="subscript"/>
          <w:lang w:val="en-US" w:eastAsia="zh-CN" w:bidi="ar-SA"/>
        </w:rPr>
        <w:t>10</w:t>
      </w:r>
      <w:r>
        <w:rPr>
          <w:rFonts w:hint="eastAsia" w:ascii="仿宋" w:hAnsi="仿宋" w:eastAsia="仿宋" w:cs="仿宋"/>
          <w:b w:val="0"/>
          <w:bCs w:val="0"/>
          <w:color w:val="auto"/>
          <w:kern w:val="2"/>
          <w:sz w:val="24"/>
          <w:szCs w:val="32"/>
          <w:lang w:val="en-US" w:eastAsia="zh-CN" w:bidi="ar-SA"/>
        </w:rPr>
        <w:t>-C</w:t>
      </w:r>
      <w:r>
        <w:rPr>
          <w:rFonts w:hint="eastAsia" w:ascii="仿宋" w:hAnsi="仿宋" w:eastAsia="仿宋" w:cs="仿宋"/>
          <w:b w:val="0"/>
          <w:bCs w:val="0"/>
          <w:color w:val="auto"/>
          <w:kern w:val="2"/>
          <w:sz w:val="24"/>
          <w:szCs w:val="32"/>
          <w:vertAlign w:val="subscript"/>
          <w:lang w:val="en-US" w:eastAsia="zh-CN" w:bidi="ar-SA"/>
        </w:rPr>
        <w:t>40</w:t>
      </w:r>
      <w:r>
        <w:rPr>
          <w:rFonts w:hint="eastAsia" w:ascii="仿宋" w:hAnsi="仿宋" w:eastAsia="仿宋" w:cs="仿宋"/>
          <w:b w:val="0"/>
          <w:bCs w:val="0"/>
          <w:color w:val="auto"/>
          <w:kern w:val="2"/>
          <w:sz w:val="24"/>
          <w:szCs w:val="32"/>
          <w:lang w:val="en-US" w:eastAsia="zh-CN" w:bidi="ar-SA"/>
        </w:rPr>
        <w:t>）、砷、二氧化硫（亚硫酸酐）、连二亚硫酸钠（保险粉、低亚硫酸钠）、乙醛、壬基酚（壬基苯酚、4-壬基苯酚）、壬基酚聚氧乙烯醚、甲醛</w:t>
      </w:r>
      <w:r>
        <w:rPr>
          <w:rFonts w:hint="eastAsia" w:ascii="仿宋" w:hAnsi="仿宋" w:eastAsia="仿宋" w:cs="仿宋"/>
          <w:color w:val="auto"/>
          <w:sz w:val="24"/>
          <w:szCs w:val="24"/>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地块周边当前和历史上500m范围内</w:t>
      </w:r>
      <w:r>
        <w:rPr>
          <w:rFonts w:hint="default" w:ascii="仿宋" w:hAnsi="仿宋" w:eastAsia="仿宋" w:cs="仿宋"/>
          <w:b w:val="0"/>
          <w:bCs w:val="0"/>
          <w:color w:val="auto"/>
          <w:kern w:val="2"/>
          <w:sz w:val="24"/>
          <w:szCs w:val="32"/>
          <w:lang w:val="en-US" w:eastAsia="zh-CN" w:bidi="ar-SA"/>
        </w:rPr>
        <w:t>存在多家企业，</w:t>
      </w:r>
      <w:r>
        <w:rPr>
          <w:rFonts w:hint="eastAsia" w:ascii="仿宋" w:hAnsi="仿宋" w:eastAsia="仿宋" w:cs="仿宋"/>
          <w:b w:val="0"/>
          <w:bCs w:val="0"/>
          <w:color w:val="auto"/>
          <w:kern w:val="2"/>
          <w:sz w:val="24"/>
          <w:szCs w:val="32"/>
          <w:lang w:val="en-US" w:eastAsia="zh-CN" w:bidi="ar-SA"/>
        </w:rPr>
        <w:t>主要为纺织印染企业</w:t>
      </w:r>
      <w:r>
        <w:rPr>
          <w:rFonts w:hint="eastAsia" w:ascii="仿宋" w:hAnsi="仿宋" w:eastAsia="仿宋" w:cs="仿宋"/>
          <w:color w:val="auto"/>
          <w:sz w:val="24"/>
          <w:szCs w:val="24"/>
          <w:lang w:val="en-US" w:eastAsia="zh-CN"/>
        </w:rPr>
        <w:t>。根据污染因子识别结果，周边地块潜在污染物为</w:t>
      </w:r>
      <w:r>
        <w:rPr>
          <w:rFonts w:hint="eastAsia" w:ascii="仿宋" w:hAnsi="仿宋" w:eastAsia="仿宋" w:cs="仿宋"/>
          <w:b w:val="0"/>
          <w:bCs w:val="0"/>
          <w:color w:val="auto"/>
          <w:kern w:val="2"/>
          <w:sz w:val="24"/>
          <w:szCs w:val="32"/>
          <w:lang w:val="en-US" w:eastAsia="zh-CN" w:bidi="ar-SA"/>
        </w:rPr>
        <w:t>pH、色度、氨氮、AOX、硫化物、氯化物、苯并[a]芘、汞及其化合物、石油烃（C</w:t>
      </w:r>
      <w:r>
        <w:rPr>
          <w:rFonts w:hint="eastAsia" w:ascii="仿宋" w:hAnsi="仿宋" w:eastAsia="仿宋" w:cs="仿宋"/>
          <w:b w:val="0"/>
          <w:bCs w:val="0"/>
          <w:color w:val="auto"/>
          <w:kern w:val="2"/>
          <w:sz w:val="24"/>
          <w:szCs w:val="32"/>
          <w:vertAlign w:val="subscript"/>
          <w:lang w:val="en-US" w:eastAsia="zh-CN" w:bidi="ar-SA"/>
        </w:rPr>
        <w:t>10</w:t>
      </w:r>
      <w:r>
        <w:rPr>
          <w:rFonts w:hint="eastAsia" w:ascii="仿宋" w:hAnsi="仿宋" w:eastAsia="仿宋" w:cs="仿宋"/>
          <w:b w:val="0"/>
          <w:bCs w:val="0"/>
          <w:color w:val="auto"/>
          <w:kern w:val="2"/>
          <w:sz w:val="24"/>
          <w:szCs w:val="32"/>
          <w:lang w:val="en-US" w:eastAsia="zh-CN" w:bidi="ar-SA"/>
        </w:rPr>
        <w:t>-C</w:t>
      </w:r>
      <w:r>
        <w:rPr>
          <w:rFonts w:hint="eastAsia" w:ascii="仿宋" w:hAnsi="仿宋" w:eastAsia="仿宋" w:cs="仿宋"/>
          <w:b w:val="0"/>
          <w:bCs w:val="0"/>
          <w:color w:val="auto"/>
          <w:kern w:val="2"/>
          <w:sz w:val="24"/>
          <w:szCs w:val="32"/>
          <w:vertAlign w:val="subscript"/>
          <w:lang w:val="en-US" w:eastAsia="zh-CN" w:bidi="ar-SA"/>
        </w:rPr>
        <w:t>40</w:t>
      </w:r>
      <w:r>
        <w:rPr>
          <w:rFonts w:hint="eastAsia" w:ascii="仿宋" w:hAnsi="仿宋" w:eastAsia="仿宋" w:cs="仿宋"/>
          <w:b w:val="0"/>
          <w:bCs w:val="0"/>
          <w:color w:val="auto"/>
          <w:kern w:val="2"/>
          <w:sz w:val="24"/>
          <w:szCs w:val="32"/>
          <w:lang w:val="en-US" w:eastAsia="zh-CN" w:bidi="ar-SA"/>
        </w:rPr>
        <w:t>）、苯胺、总锑</w:t>
      </w:r>
      <w:r>
        <w:rPr>
          <w:rFonts w:hint="eastAsia" w:ascii="仿宋" w:hAnsi="仿宋" w:eastAsia="仿宋" w:cs="仿宋"/>
          <w:color w:val="auto"/>
          <w:sz w:val="24"/>
          <w:szCs w:val="24"/>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仿宋"/>
          <w:b/>
          <w:bCs/>
          <w:color w:val="auto"/>
          <w:lang w:val="en-US" w:eastAsia="zh-CN"/>
        </w:rPr>
      </w:pPr>
      <w:bookmarkStart w:id="6" w:name="_Toc19775"/>
      <w:bookmarkStart w:id="7" w:name="_Toc10178"/>
      <w:r>
        <w:rPr>
          <w:rFonts w:hint="eastAsia" w:ascii="仿宋" w:hAnsi="仿宋" w:eastAsia="仿宋" w:cs="仿宋"/>
          <w:b/>
          <w:bCs/>
          <w:color w:val="auto"/>
          <w:lang w:val="en-US" w:eastAsia="zh-CN"/>
        </w:rPr>
        <w:t>二、初步采样调查</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lang w:val="en-US" w:eastAsia="zh-CN"/>
        </w:rPr>
        <w:t>第二阶段土壤污染状况调查初步采样时间为2023年7月25日。本次土壤污染状况调查共布设10个土壤采样点位（包含一个土壤对照采样点），采样深度不低于6m，</w:t>
      </w:r>
      <w:r>
        <w:rPr>
          <w:rFonts w:hint="eastAsia" w:ascii="仿宋" w:hAnsi="仿宋" w:eastAsia="仿宋" w:cs="仿宋"/>
          <w:color w:val="auto"/>
          <w:highlight w:val="none"/>
          <w:lang w:val="en-US" w:eastAsia="zh-CN"/>
        </w:rPr>
        <w:t>共送检土壤样品51个（包括6个对照土样品，5个平行样），检测项目包括pH、重金属7项、挥发性有机物（VOCs）27种、半挥发性有机物（SVOCs）11种、总锑、石油烃（C</w:t>
      </w:r>
      <w:r>
        <w:rPr>
          <w:rFonts w:hint="eastAsia" w:ascii="仿宋" w:hAnsi="仿宋" w:eastAsia="仿宋" w:cs="仿宋"/>
          <w:color w:val="auto"/>
          <w:highlight w:val="none"/>
          <w:vertAlign w:val="subscript"/>
          <w:lang w:val="en-US" w:eastAsia="zh-CN"/>
        </w:rPr>
        <w:t>10</w:t>
      </w:r>
      <w:r>
        <w:rPr>
          <w:rFonts w:hint="eastAsia" w:ascii="仿宋" w:hAnsi="仿宋" w:eastAsia="仿宋" w:cs="仿宋"/>
          <w:color w:val="auto"/>
          <w:highlight w:val="none"/>
          <w:lang w:val="en-US" w:eastAsia="zh-CN"/>
        </w:rPr>
        <w:t>-C</w:t>
      </w:r>
      <w:r>
        <w:rPr>
          <w:rFonts w:hint="eastAsia" w:ascii="仿宋" w:hAnsi="仿宋" w:eastAsia="仿宋" w:cs="仿宋"/>
          <w:color w:val="auto"/>
          <w:highlight w:val="none"/>
          <w:vertAlign w:val="subscript"/>
          <w:lang w:val="en-US" w:eastAsia="zh-CN"/>
        </w:rPr>
        <w:t>40</w:t>
      </w:r>
      <w:r>
        <w:rPr>
          <w:rFonts w:hint="eastAsia" w:ascii="仿宋" w:hAnsi="仿宋" w:eastAsia="仿宋" w:cs="仿宋"/>
          <w:color w:val="auto"/>
          <w:highlight w:val="none"/>
          <w:lang w:val="en-US" w:eastAsia="zh-CN"/>
        </w:rPr>
        <w:t>）、硫化物、甲醛。</w:t>
      </w:r>
      <w:r>
        <w:rPr>
          <w:rFonts w:hint="eastAsia" w:ascii="仿宋" w:hAnsi="仿宋" w:eastAsia="仿宋" w:cs="仿宋"/>
          <w:color w:val="auto"/>
          <w:kern w:val="2"/>
          <w:sz w:val="24"/>
          <w:szCs w:val="20"/>
          <w:lang w:val="en-US" w:eastAsia="zh-CN" w:bidi="ar-SA"/>
        </w:rPr>
        <w:t>共布设</w:t>
      </w:r>
      <w:r>
        <w:rPr>
          <w:rFonts w:hint="eastAsia" w:ascii="仿宋" w:hAnsi="仿宋" w:eastAsia="仿宋" w:cs="仿宋"/>
          <w:color w:val="auto"/>
          <w:lang w:val="en-US" w:eastAsia="zh-CN"/>
        </w:rPr>
        <w:t>地下水监测井4个（包含一个地下水对照采样点），井深不低于6m，共采集地下水样品5个（包括1个对照点水样，1个平行样），</w:t>
      </w:r>
      <w:r>
        <w:rPr>
          <w:rFonts w:hint="eastAsia" w:ascii="仿宋" w:hAnsi="仿宋" w:eastAsia="仿宋" w:cs="仿宋"/>
          <w:color w:val="auto"/>
          <w:highlight w:val="none"/>
          <w:lang w:val="en-US" w:eastAsia="zh-CN"/>
        </w:rPr>
        <w:t>监测项目pH值、色度、氨氮、硫化物、氯化物、硫酸盐、耗氧量、硝酸盐、亚硝酸盐、氟化物、挥发酚、可吸附性有机卤素、总锑、石油烃（C</w:t>
      </w:r>
      <w:r>
        <w:rPr>
          <w:rFonts w:hint="eastAsia" w:ascii="仿宋" w:hAnsi="仿宋" w:eastAsia="仿宋" w:cs="仿宋"/>
          <w:color w:val="auto"/>
          <w:highlight w:val="none"/>
          <w:vertAlign w:val="subscript"/>
          <w:lang w:val="en-US" w:eastAsia="zh-CN"/>
        </w:rPr>
        <w:t>10</w:t>
      </w:r>
      <w:r>
        <w:rPr>
          <w:rFonts w:hint="eastAsia" w:ascii="仿宋" w:hAnsi="仿宋" w:eastAsia="仿宋" w:cs="仿宋"/>
          <w:color w:val="auto"/>
          <w:highlight w:val="none"/>
          <w:lang w:val="en-US" w:eastAsia="zh-CN"/>
        </w:rPr>
        <w:t>-C</w:t>
      </w:r>
      <w:r>
        <w:rPr>
          <w:rFonts w:hint="eastAsia" w:ascii="仿宋" w:hAnsi="仿宋" w:eastAsia="仿宋" w:cs="仿宋"/>
          <w:color w:val="auto"/>
          <w:highlight w:val="none"/>
          <w:vertAlign w:val="subscript"/>
          <w:lang w:val="en-US" w:eastAsia="zh-CN"/>
        </w:rPr>
        <w:t>40</w:t>
      </w:r>
      <w:r>
        <w:rPr>
          <w:rFonts w:hint="eastAsia" w:ascii="仿宋" w:hAnsi="仿宋" w:eastAsia="仿宋" w:cs="仿宋"/>
          <w:color w:val="auto"/>
          <w:highlight w:val="none"/>
          <w:lang w:val="en-US" w:eastAsia="zh-CN"/>
        </w:rPr>
        <w:t>）、甲醛、重金属7项、挥发性有机物（VOCs）27种、半挥发性有机物（SVOCs）11种。</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outlineLvl w:val="9"/>
        <w:rPr>
          <w:rFonts w:hint="eastAsia" w:ascii="仿宋" w:hAnsi="仿宋" w:eastAsia="仿宋" w:cs="仿宋"/>
          <w:b/>
          <w:bCs/>
          <w:color w:val="auto"/>
          <w:sz w:val="24"/>
          <w:szCs w:val="24"/>
          <w:lang w:val="en-US" w:eastAsia="zh-CN"/>
        </w:rPr>
      </w:pPr>
      <w:bookmarkStart w:id="8" w:name="_Toc4874"/>
      <w:bookmarkStart w:id="9" w:name="_Toc23280"/>
      <w:r>
        <w:rPr>
          <w:rFonts w:hint="eastAsia" w:ascii="仿宋" w:hAnsi="仿宋" w:eastAsia="仿宋" w:cs="仿宋"/>
          <w:b/>
          <w:bCs/>
          <w:color w:val="auto"/>
          <w:lang w:val="en-US" w:eastAsia="zh-CN"/>
        </w:rPr>
        <w:t>检测结果分析</w:t>
      </w:r>
      <w:bookmarkEnd w:id="8"/>
      <w:bookmarkEnd w:id="9"/>
    </w:p>
    <w:p>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lang w:val="en-US" w:eastAsia="zh-CN"/>
        </w:rPr>
        <w:t>土壤：</w:t>
      </w:r>
      <w:r>
        <w:rPr>
          <w:rFonts w:hint="eastAsia" w:ascii="仿宋" w:hAnsi="仿宋" w:eastAsia="仿宋" w:cs="仿宋"/>
          <w:color w:val="auto"/>
          <w:sz w:val="24"/>
          <w:szCs w:val="24"/>
        </w:rPr>
        <w:t>土壤</w:t>
      </w:r>
      <w:r>
        <w:rPr>
          <w:rFonts w:hint="eastAsia" w:ascii="仿宋" w:hAnsi="仿宋" w:eastAsia="仿宋" w:cs="仿宋"/>
          <w:color w:val="auto"/>
          <w:sz w:val="24"/>
          <w:szCs w:val="24"/>
          <w:lang w:val="en-US" w:eastAsia="zh-CN"/>
        </w:rPr>
        <w:t>T7（采样深度1.5~2m）的苯并[a]芘、二苯并[a,h]蒽指标</w:t>
      </w:r>
      <w:r>
        <w:rPr>
          <w:rFonts w:hint="eastAsia" w:ascii="仿宋" w:hAnsi="仿宋" w:eastAsia="仿宋" w:cs="仿宋"/>
          <w:color w:val="auto"/>
          <w:sz w:val="24"/>
          <w:szCs w:val="24"/>
        </w:rPr>
        <w:t>超过《土壤环境质量建设用地土壤污染风险管控标准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试行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》（GB36600-2018）</w:t>
      </w:r>
      <w:r>
        <w:rPr>
          <w:rFonts w:hint="eastAsia" w:ascii="仿宋" w:hAnsi="仿宋" w:eastAsia="仿宋" w:cs="仿宋"/>
          <w:color w:val="auto"/>
          <w:sz w:val="24"/>
          <w:szCs w:val="24"/>
          <w:lang w:eastAsia="zh-CN"/>
        </w:rPr>
        <w:t>第</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类筛选值，</w:t>
      </w:r>
      <w:r>
        <w:rPr>
          <w:rFonts w:hint="eastAsia" w:ascii="仿宋" w:hAnsi="仿宋" w:eastAsia="仿宋" w:cs="仿宋"/>
          <w:color w:val="auto"/>
          <w:sz w:val="24"/>
          <w:szCs w:val="24"/>
          <w:lang w:val="en-US" w:eastAsia="zh-CN"/>
        </w:rPr>
        <w:t>其中苯并[a]芘指标</w:t>
      </w:r>
      <w:r>
        <w:rPr>
          <w:rFonts w:hint="eastAsia" w:ascii="仿宋" w:hAnsi="仿宋" w:eastAsia="仿宋" w:cs="仿宋"/>
          <w:color w:val="auto"/>
          <w:sz w:val="24"/>
          <w:szCs w:val="24"/>
        </w:rPr>
        <w:t>超过《土壤环境质量建设用地土壤污染风险管控标准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试行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》（GB36600-2018）</w:t>
      </w:r>
      <w:r>
        <w:rPr>
          <w:rFonts w:hint="eastAsia" w:ascii="仿宋" w:hAnsi="仿宋" w:eastAsia="仿宋" w:cs="仿宋"/>
          <w:color w:val="auto"/>
          <w:sz w:val="24"/>
          <w:szCs w:val="24"/>
          <w:lang w:eastAsia="zh-CN"/>
        </w:rPr>
        <w:t>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类筛选值。</w:t>
      </w:r>
      <w:r>
        <w:rPr>
          <w:rFonts w:hint="eastAsia" w:ascii="仿宋" w:hAnsi="仿宋" w:eastAsia="仿宋" w:cs="仿宋"/>
          <w:color w:val="auto"/>
          <w:sz w:val="24"/>
          <w:szCs w:val="24"/>
          <w:lang w:val="en-US" w:eastAsia="zh-CN"/>
        </w:rPr>
        <w:t>其他样品检测结果均满足</w:t>
      </w:r>
      <w:r>
        <w:rPr>
          <w:rFonts w:hint="eastAsia" w:ascii="仿宋" w:hAnsi="仿宋" w:eastAsia="仿宋" w:cs="仿宋"/>
          <w:color w:val="auto"/>
          <w:sz w:val="24"/>
          <w:szCs w:val="24"/>
        </w:rPr>
        <w:t>超过《土壤环境质量建设用地土壤污染风险管控标准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试行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》（GB36600-2018）</w:t>
      </w:r>
      <w:r>
        <w:rPr>
          <w:rFonts w:hint="eastAsia" w:ascii="仿宋" w:hAnsi="仿宋" w:eastAsia="仿宋" w:cs="仿宋"/>
          <w:color w:val="auto"/>
          <w:sz w:val="24"/>
          <w:szCs w:val="24"/>
          <w:lang w:val="en-US" w:eastAsia="zh-CN"/>
        </w:rPr>
        <w:t>及《建设用地土壤污染风险筛选值和管制值（DB4403_T67-2020）》</w:t>
      </w:r>
      <w:r>
        <w:rPr>
          <w:rFonts w:hint="eastAsia" w:ascii="仿宋" w:hAnsi="仿宋" w:eastAsia="仿宋" w:cs="仿宋"/>
          <w:color w:val="auto"/>
          <w:sz w:val="24"/>
          <w:szCs w:val="24"/>
        </w:rPr>
        <w:t>中</w:t>
      </w:r>
      <w:r>
        <w:rPr>
          <w:rFonts w:hint="eastAsia" w:ascii="仿宋" w:hAnsi="仿宋" w:eastAsia="仿宋" w:cs="仿宋"/>
          <w:color w:val="auto"/>
          <w:sz w:val="24"/>
          <w:szCs w:val="24"/>
          <w:lang w:eastAsia="zh-CN"/>
        </w:rPr>
        <w:t>第</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类筛选值</w:t>
      </w:r>
      <w:r>
        <w:rPr>
          <w:rFonts w:hint="eastAsia" w:ascii="仿宋" w:hAnsi="仿宋" w:eastAsia="仿宋" w:cs="仿宋"/>
          <w:color w:val="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仿宋" w:hAnsi="仿宋" w:eastAsia="仿宋" w:cs="仿宋"/>
          <w:color w:val="000000"/>
          <w:lang w:val="en-US" w:eastAsia="zh-CN"/>
        </w:rPr>
      </w:pPr>
      <w:r>
        <w:rPr>
          <w:rFonts w:hint="eastAsia" w:ascii="仿宋" w:hAnsi="仿宋" w:eastAsia="仿宋" w:cs="仿宋"/>
          <w:color w:val="auto"/>
          <w:szCs w:val="21"/>
          <w:lang w:val="en-US" w:eastAsia="zh-CN"/>
        </w:rPr>
        <w:t>地下水：地块内地下水样品中，</w:t>
      </w:r>
      <w:r>
        <w:rPr>
          <w:rFonts w:hint="eastAsia" w:ascii="仿宋" w:hAnsi="仿宋" w:eastAsia="仿宋" w:cs="仿宋"/>
          <w:color w:val="auto"/>
          <w:lang w:val="en-US" w:eastAsia="zh-CN"/>
        </w:rPr>
        <w:t>除D3色度、耗氧量、氨氮、石油烃（C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vertAlign w:val="baseline"/>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w:t>
      </w:r>
      <w:r>
        <w:rPr>
          <w:rFonts w:hint="eastAsia" w:ascii="仿宋" w:hAnsi="仿宋" w:eastAsia="仿宋" w:cs="仿宋"/>
          <w:color w:val="auto"/>
          <w:szCs w:val="21"/>
          <w:lang w:val="en-US" w:eastAsia="zh-CN"/>
        </w:rPr>
        <w:t>，其余检测值均满足《地下水质量标准》（GB/T 14848-2017）中IV类水标准及《上海市建设用地土壤污染状况调查、风险评估、风险管控与修复方案编制、风</w:t>
      </w:r>
      <w:r>
        <w:rPr>
          <w:rFonts w:hint="eastAsia" w:ascii="仿宋" w:hAnsi="仿宋" w:eastAsia="仿宋" w:cs="仿宋"/>
          <w:color w:val="000000"/>
          <w:szCs w:val="21"/>
          <w:lang w:val="en-US" w:eastAsia="zh-CN"/>
        </w:rPr>
        <w:t>险管控与修复效果评估工作的补充规定（试行）》（沪环土[2020]62号）第一类用地筛选值标准</w:t>
      </w:r>
      <w:r>
        <w:rPr>
          <w:rFonts w:hint="eastAsia" w:ascii="仿宋" w:hAnsi="仿宋" w:eastAsia="仿宋" w:cs="仿宋"/>
          <w:color w:val="000000"/>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afterLines="0"/>
        <w:ind w:firstLine="482" w:firstLineChars="200"/>
        <w:jc w:val="left"/>
        <w:textAlignment w:val="auto"/>
        <w:outlineLvl w:val="9"/>
        <w:rPr>
          <w:rFonts w:hint="eastAsia" w:ascii="仿宋" w:hAnsi="仿宋" w:eastAsia="仿宋" w:cs="仿宋"/>
          <w:b/>
          <w:bCs/>
          <w:color w:val="000000"/>
          <w:lang w:val="en-US" w:eastAsia="zh-CN"/>
        </w:rPr>
      </w:pPr>
      <w:bookmarkStart w:id="10" w:name="_Toc31493"/>
      <w:bookmarkStart w:id="11" w:name="_Toc3705"/>
      <w:r>
        <w:rPr>
          <w:rFonts w:hint="eastAsia" w:ascii="仿宋" w:hAnsi="仿宋" w:eastAsia="仿宋" w:cs="仿宋"/>
          <w:b/>
          <w:bCs/>
          <w:color w:val="000000"/>
          <w:lang w:val="en-US" w:eastAsia="zh-CN"/>
        </w:rPr>
        <w:t>四、结论</w:t>
      </w:r>
      <w:bookmarkEnd w:id="10"/>
      <w:bookmarkEnd w:id="11"/>
    </w:p>
    <w:p>
      <w:r>
        <w:rPr>
          <w:rFonts w:hint="eastAsia" w:ascii="仿宋" w:hAnsi="仿宋" w:eastAsia="仿宋" w:cs="仿宋"/>
          <w:color w:val="000000"/>
          <w:lang w:val="en-US" w:eastAsia="zh-CN"/>
        </w:rPr>
        <w:t>根据原南通新兴色织有限公司地块土壤污染状况调查结果，</w:t>
      </w:r>
      <w:r>
        <w:rPr>
          <w:rFonts w:hint="eastAsia" w:ascii="仿宋" w:hAnsi="仿宋" w:eastAsia="仿宋" w:cs="仿宋"/>
          <w:b w:val="0"/>
          <w:bCs w:val="0"/>
          <w:color w:val="auto"/>
          <w:kern w:val="2"/>
          <w:sz w:val="24"/>
          <w:szCs w:val="24"/>
          <w:lang w:val="en-US" w:eastAsia="zh-CN" w:bidi="ar-SA"/>
        </w:rPr>
        <w:t>原南通新兴色织有限公司地块属于污染地块，地块不满足GB50137规定的第一类用地、第二类用地的土壤环境质量标准要求。</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B2D84"/>
    <w:multiLevelType w:val="singleLevel"/>
    <w:tmpl w:val="061B2D84"/>
    <w:lvl w:ilvl="0" w:tentative="0">
      <w:start w:val="3"/>
      <w:numFmt w:val="chineseCounting"/>
      <w:suff w:val="nothing"/>
      <w:lvlText w:val="%1、"/>
      <w:lvlJc w:val="left"/>
      <w:rPr>
        <w:rFonts w:hint="eastAsia"/>
      </w:rPr>
    </w:lvl>
  </w:abstractNum>
  <w:abstractNum w:abstractNumId="1">
    <w:nsid w:val="0F629CCE"/>
    <w:multiLevelType w:val="singleLevel"/>
    <w:tmpl w:val="0F629CCE"/>
    <w:lvl w:ilvl="0" w:tentative="0">
      <w:start w:val="1"/>
      <w:numFmt w:val="decimal"/>
      <w:suff w:val="nothing"/>
      <w:lvlText w:val="（%1）"/>
      <w:lvlJc w:val="left"/>
      <w:rPr>
        <w:rFonts w:hint="default"/>
        <w:color w:val="0000FF"/>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jVhMjE2YjBiMjdmM2I2ZmU2ZTQ4NzkyODhlNmMifQ=="/>
  </w:docVars>
  <w:rsids>
    <w:rsidRoot w:val="1EA36D21"/>
    <w:rsid w:val="1EA3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0" w:firstLineChars="200"/>
      <w:jc w:val="both"/>
    </w:pPr>
    <w:rPr>
      <w:rFonts w:ascii="Times New Roman" w:hAnsi="Times New Roman" w:eastAsia="宋体" w:cs="Times New Roman"/>
      <w:kern w:val="2"/>
      <w:sz w:val="24"/>
      <w:szCs w:val="20"/>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next w:val="1"/>
    <w:qFormat/>
    <w:uiPriority w:val="0"/>
    <w:pPr>
      <w:spacing w:after="120" w:afterLines="0" w:afterAutospacing="0"/>
      <w:ind w:left="420" w:leftChars="200"/>
    </w:pPr>
  </w:style>
  <w:style w:type="paragraph" w:styleId="4">
    <w:name w:val="Body Text First Indent"/>
    <w:basedOn w:val="2"/>
    <w:qFormat/>
    <w:uiPriority w:val="0"/>
    <w:pPr>
      <w:ind w:firstLine="420" w:firstLineChars="100"/>
    </w:pPr>
  </w:style>
  <w:style w:type="paragraph" w:styleId="5">
    <w:name w:val="Body Text First Indent 2"/>
    <w:basedOn w:val="3"/>
    <w:next w:val="4"/>
    <w:qFormat/>
    <w:uiPriority w:val="0"/>
    <w:pPr>
      <w:ind w:left="0" w:leftChars="0" w:firstLine="420" w:firstLineChars="200"/>
      <w:jc w:val="center"/>
    </w:pPr>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2023-08-11T02:28:00Z</dcterms:created>
  <dc:creator>圆</dc:creator>
  <cp:lastModifiedBy>圆</cp:lastModifiedBy>
  <dcterms:modified xsi:type="dcterms:W3CDTF">2023-08-11T02:28:19Z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EFC4F0B7C708416EAAF6586CF5BD2C19_11</vt:lpwstr>
  </property>
</Properties>
</file>